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61DBD" w14:textId="004416D9" w:rsidR="00A02A31" w:rsidRPr="00861EE9" w:rsidRDefault="00BC4DB7" w:rsidP="00A02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sz w:val="24"/>
          <w:szCs w:val="24"/>
          <w:lang w:val="ro-RO"/>
        </w:rPr>
      </w:pPr>
      <w:r w:rsidRPr="00861EE9">
        <w:rPr>
          <w:b/>
          <w:sz w:val="24"/>
          <w:szCs w:val="24"/>
          <w:lang w:val="ro-RO"/>
        </w:rPr>
        <w:t xml:space="preserve">                                                                                            Consiliului de administrație al ANRE</w:t>
      </w:r>
    </w:p>
    <w:p w14:paraId="4F2D2FF0" w14:textId="1394F15E" w:rsidR="00BC4DB7" w:rsidRPr="00861EE9" w:rsidRDefault="00BC4DB7" w:rsidP="00A02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sz w:val="24"/>
          <w:szCs w:val="24"/>
          <w:lang w:val="ro-RO"/>
        </w:rPr>
      </w:pPr>
    </w:p>
    <w:p w14:paraId="53FC6995" w14:textId="77777777" w:rsidR="00BC4DB7" w:rsidRPr="00861EE9" w:rsidRDefault="00BC4DB7" w:rsidP="00A02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sz w:val="24"/>
          <w:szCs w:val="24"/>
          <w:lang w:val="ro-RO"/>
        </w:rPr>
      </w:pPr>
    </w:p>
    <w:p w14:paraId="19B5E71F" w14:textId="73BDC2C6" w:rsidR="008B4BE6" w:rsidRPr="00861EE9" w:rsidRDefault="006933C3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4"/>
          <w:szCs w:val="24"/>
          <w:lang w:val="ro-RO"/>
        </w:rPr>
      </w:pPr>
      <w:r w:rsidRPr="00861EE9">
        <w:rPr>
          <w:b/>
          <w:sz w:val="24"/>
          <w:szCs w:val="24"/>
          <w:lang w:val="ro-RO"/>
        </w:rPr>
        <w:t>NOTA</w:t>
      </w:r>
      <w:r w:rsidR="00032B46" w:rsidRPr="00861EE9">
        <w:rPr>
          <w:b/>
          <w:sz w:val="24"/>
          <w:szCs w:val="24"/>
          <w:lang w:val="ro-RO"/>
        </w:rPr>
        <w:t xml:space="preserve"> </w:t>
      </w:r>
      <w:r w:rsidRPr="00861EE9">
        <w:rPr>
          <w:b/>
          <w:sz w:val="24"/>
          <w:szCs w:val="24"/>
          <w:lang w:val="ro-RO"/>
        </w:rPr>
        <w:t>DE</w:t>
      </w:r>
      <w:r w:rsidR="00032B46" w:rsidRPr="00861EE9">
        <w:rPr>
          <w:b/>
          <w:sz w:val="24"/>
          <w:szCs w:val="24"/>
          <w:lang w:val="ro-RO"/>
        </w:rPr>
        <w:t xml:space="preserve"> </w:t>
      </w:r>
      <w:r w:rsidRPr="00861EE9">
        <w:rPr>
          <w:b/>
          <w:sz w:val="24"/>
          <w:szCs w:val="24"/>
          <w:lang w:val="ro-RO"/>
        </w:rPr>
        <w:t>FUNDAMENTARE</w:t>
      </w:r>
    </w:p>
    <w:p w14:paraId="24C93905" w14:textId="77777777" w:rsidR="008F718B" w:rsidRPr="00861EE9" w:rsidRDefault="008F718B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</w:p>
    <w:p w14:paraId="116A01F4" w14:textId="01664004" w:rsidR="00C36F53" w:rsidRPr="00861EE9" w:rsidRDefault="006933C3" w:rsidP="00EF7E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bCs/>
          <w:sz w:val="24"/>
          <w:szCs w:val="24"/>
          <w:lang w:val="ro-MD"/>
        </w:rPr>
      </w:pPr>
      <w:r w:rsidRPr="00861EE9">
        <w:rPr>
          <w:b/>
          <w:sz w:val="24"/>
          <w:szCs w:val="24"/>
          <w:lang w:val="ro-RO"/>
        </w:rPr>
        <w:t>la</w:t>
      </w:r>
      <w:r w:rsidR="00032B46" w:rsidRPr="00861EE9">
        <w:rPr>
          <w:b/>
          <w:sz w:val="24"/>
          <w:szCs w:val="24"/>
          <w:lang w:val="ro-RO"/>
        </w:rPr>
        <w:t xml:space="preserve"> </w:t>
      </w:r>
      <w:r w:rsidRPr="00861EE9">
        <w:rPr>
          <w:b/>
          <w:sz w:val="24"/>
          <w:szCs w:val="24"/>
          <w:lang w:val="ro-RO"/>
        </w:rPr>
        <w:t>proiectul</w:t>
      </w:r>
      <w:r w:rsidR="00C36F53" w:rsidRPr="00861EE9">
        <w:rPr>
          <w:b/>
          <w:sz w:val="24"/>
          <w:szCs w:val="24"/>
          <w:lang w:val="ro-RO"/>
        </w:rPr>
        <w:t xml:space="preserve"> </w:t>
      </w:r>
      <w:r w:rsidR="00EF7E8F" w:rsidRPr="00861EE9">
        <w:rPr>
          <w:b/>
          <w:sz w:val="24"/>
          <w:szCs w:val="24"/>
          <w:lang w:val="ro-RO"/>
        </w:rPr>
        <w:t>Hotărârii Consiliului de administrație al ANRE</w:t>
      </w:r>
      <w:r w:rsidR="00C36F53" w:rsidRPr="00861EE9">
        <w:rPr>
          <w:b/>
          <w:sz w:val="24"/>
          <w:szCs w:val="24"/>
          <w:lang w:val="ro-RO"/>
        </w:rPr>
        <w:t xml:space="preserve"> cu privir</w:t>
      </w:r>
      <w:bookmarkStart w:id="0" w:name="_GoBack"/>
      <w:bookmarkEnd w:id="0"/>
      <w:r w:rsidR="00C36F53" w:rsidRPr="00861EE9">
        <w:rPr>
          <w:b/>
          <w:sz w:val="24"/>
          <w:szCs w:val="24"/>
          <w:lang w:val="ro-RO"/>
        </w:rPr>
        <w:t xml:space="preserve">e la modificarea </w:t>
      </w:r>
      <w:r w:rsidR="0035146D" w:rsidRPr="00861EE9">
        <w:rPr>
          <w:b/>
          <w:sz w:val="24"/>
          <w:szCs w:val="24"/>
          <w:lang w:val="ro-RO"/>
        </w:rPr>
        <w:t xml:space="preserve">Metodologiei de calculare, aprobare și aplicare a </w:t>
      </w:r>
      <w:r w:rsidR="000E7D2D" w:rsidRPr="00861EE9">
        <w:rPr>
          <w:b/>
          <w:sz w:val="24"/>
          <w:szCs w:val="24"/>
          <w:lang w:val="ro-RO"/>
        </w:rPr>
        <w:t>tarifelor</w:t>
      </w:r>
      <w:r w:rsidR="0035146D" w:rsidRPr="00861EE9">
        <w:rPr>
          <w:b/>
          <w:sz w:val="24"/>
          <w:szCs w:val="24"/>
          <w:lang w:val="ro-RO"/>
        </w:rPr>
        <w:t xml:space="preserve"> reglementate pentru </w:t>
      </w:r>
      <w:r w:rsidR="000E7D2D" w:rsidRPr="00861EE9">
        <w:rPr>
          <w:b/>
          <w:sz w:val="24"/>
          <w:szCs w:val="24"/>
          <w:lang w:val="ro-RO"/>
        </w:rPr>
        <w:t xml:space="preserve">serviciul de </w:t>
      </w:r>
      <w:r w:rsidR="00857F9D" w:rsidRPr="00861EE9">
        <w:rPr>
          <w:b/>
          <w:sz w:val="24"/>
          <w:szCs w:val="24"/>
          <w:lang w:val="ro-RO"/>
        </w:rPr>
        <w:t>distribuție</w:t>
      </w:r>
      <w:r w:rsidR="000E7D2D" w:rsidRPr="00861EE9">
        <w:rPr>
          <w:b/>
          <w:sz w:val="24"/>
          <w:szCs w:val="24"/>
          <w:lang w:val="ro-RO"/>
        </w:rPr>
        <w:t xml:space="preserve"> al </w:t>
      </w:r>
      <w:r w:rsidR="000E7D2D" w:rsidRPr="00861EE9">
        <w:rPr>
          <w:b/>
          <w:bCs/>
          <w:sz w:val="24"/>
          <w:szCs w:val="24"/>
          <w:lang w:val="ro-MD"/>
        </w:rPr>
        <w:t>energiei</w:t>
      </w:r>
      <w:r w:rsidR="00EF7E8F" w:rsidRPr="00861EE9">
        <w:rPr>
          <w:b/>
          <w:bCs/>
          <w:sz w:val="24"/>
          <w:szCs w:val="24"/>
          <w:lang w:val="ro-MD"/>
        </w:rPr>
        <w:t xml:space="preserve"> </w:t>
      </w:r>
      <w:r w:rsidR="00C36F53" w:rsidRPr="00861EE9">
        <w:rPr>
          <w:b/>
          <w:bCs/>
          <w:sz w:val="24"/>
          <w:szCs w:val="24"/>
          <w:lang w:val="ro-MD"/>
        </w:rPr>
        <w:t>electric</w:t>
      </w:r>
      <w:r w:rsidR="000E7D2D" w:rsidRPr="00861EE9">
        <w:rPr>
          <w:b/>
          <w:bCs/>
          <w:sz w:val="24"/>
          <w:szCs w:val="24"/>
          <w:lang w:val="ro-MD"/>
        </w:rPr>
        <w:t>e</w:t>
      </w:r>
      <w:r w:rsidR="00EF7E8F" w:rsidRPr="00861EE9">
        <w:rPr>
          <w:b/>
          <w:bCs/>
          <w:sz w:val="24"/>
          <w:szCs w:val="24"/>
          <w:lang w:val="ro-MD"/>
        </w:rPr>
        <w:t xml:space="preserve">, aprobată prin </w:t>
      </w:r>
      <w:r w:rsidR="00EF7E8F" w:rsidRPr="00861EE9">
        <w:rPr>
          <w:b/>
          <w:sz w:val="24"/>
          <w:szCs w:val="24"/>
          <w:lang w:val="ro-RO"/>
        </w:rPr>
        <w:t xml:space="preserve">Hotărârea Consiliului de administrație al ANRE nr. </w:t>
      </w:r>
      <w:r w:rsidR="00857F9D" w:rsidRPr="00861EE9">
        <w:rPr>
          <w:b/>
          <w:sz w:val="24"/>
          <w:szCs w:val="24"/>
          <w:lang w:val="ro-RO"/>
        </w:rPr>
        <w:t>247</w:t>
      </w:r>
      <w:r w:rsidR="00EF7E8F" w:rsidRPr="00861EE9">
        <w:rPr>
          <w:b/>
          <w:sz w:val="24"/>
          <w:szCs w:val="24"/>
          <w:lang w:val="ro-RO"/>
        </w:rPr>
        <w:t>/20</w:t>
      </w:r>
      <w:r w:rsidR="000E7D2D" w:rsidRPr="00861EE9">
        <w:rPr>
          <w:b/>
          <w:sz w:val="24"/>
          <w:szCs w:val="24"/>
          <w:lang w:val="ro-RO"/>
        </w:rPr>
        <w:t>2</w:t>
      </w:r>
      <w:r w:rsidR="00857F9D" w:rsidRPr="00861EE9">
        <w:rPr>
          <w:b/>
          <w:sz w:val="24"/>
          <w:szCs w:val="24"/>
          <w:lang w:val="ro-RO"/>
        </w:rPr>
        <w:t>5</w:t>
      </w:r>
    </w:p>
    <w:p w14:paraId="581CF8BF" w14:textId="0A47ED7B" w:rsidR="008B4BE6" w:rsidRPr="00861EE9" w:rsidRDefault="00032B46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861EE9">
        <w:rPr>
          <w:i/>
          <w:sz w:val="24"/>
          <w:szCs w:val="24"/>
          <w:vertAlign w:val="superscript"/>
          <w:lang w:val="ro-RO"/>
        </w:rPr>
        <w:t xml:space="preserve">                            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3946CD" w:rsidRPr="00861EE9" w14:paraId="287A4E29" w14:textId="77777777" w:rsidTr="003C3DB4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861EE9" w:rsidRDefault="0036135C" w:rsidP="002721D2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Denumirea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sau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numele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autorului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i,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după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caz,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E94FA8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/al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participan</w:t>
            </w:r>
            <w:r w:rsidR="00863417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ilor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la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3946CD" w:rsidRPr="00861EE9" w14:paraId="07E4E789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15D89FA3" w:rsidR="00E54580" w:rsidRPr="00861EE9" w:rsidRDefault="00E54580" w:rsidP="00386C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Agenția Națională pentru Reglementare în Energetică </w:t>
            </w:r>
            <w:r w:rsidRPr="00861EE9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(</w:t>
            </w:r>
            <w:r w:rsidR="0019436F" w:rsidRPr="00861EE9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în continuare</w:t>
            </w:r>
            <w:r w:rsidR="0050720D" w:rsidRPr="00861EE9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–</w:t>
            </w:r>
            <w:r w:rsidR="00386C34" w:rsidRPr="00861EE9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19436F" w:rsidRPr="00861EE9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Agenția /</w:t>
            </w:r>
            <w:r w:rsidRPr="00861EE9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ANRE)</w:t>
            </w:r>
            <w:r w:rsidRPr="00861EE9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,</w:t>
            </w:r>
            <w:r w:rsidR="00386C34" w:rsidRPr="00861EE9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Departamentul energie electrică și regenerabilă, Secția reglementări.</w:t>
            </w:r>
          </w:p>
        </w:tc>
      </w:tr>
      <w:tr w:rsidR="003946CD" w:rsidRPr="00861EE9" w14:paraId="54985D5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861EE9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2.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Condi</w:t>
            </w:r>
            <w:r w:rsidR="00863417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impus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3946CD" w:rsidRPr="00861EE9" w14:paraId="4F79667C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861EE9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2.1.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Temeiul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legal</w:t>
            </w:r>
            <w:r w:rsidR="00825DC9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după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caz</w:t>
            </w:r>
            <w:r w:rsidR="00825DC9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sursa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proiectului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actului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normativ</w:t>
            </w:r>
          </w:p>
        </w:tc>
      </w:tr>
      <w:tr w:rsidR="003946CD" w:rsidRPr="00861EE9" w14:paraId="5475408D" w14:textId="77777777" w:rsidTr="00FE5CF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482F" w14:textId="51A8AF20" w:rsidR="00651AE9" w:rsidRPr="00861EE9" w:rsidRDefault="00E51298" w:rsidP="00E5129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Temeiul legal p</w:t>
            </w:r>
            <w:r w:rsidR="00FE5CF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entru intervenția de reglementare propusă îl constituie art. 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="00FE5CF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alin. (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E5CF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lit. </w:t>
            </w:r>
            <w:r w:rsidR="0004049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k</w:t>
            </w:r>
            <w:r w:rsidR="00FE5CF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="00874221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FE5CF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Legea nr. 1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64</w:t>
            </w:r>
            <w:r w:rsidR="00FE5CF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/20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  <w:r w:rsidR="00FE5CF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privire la energia electrică </w:t>
            </w:r>
            <w:r w:rsidR="00611FFB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611FFB" w:rsidRPr="00861EE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 continuare – Legea nr. 164/2025)</w:t>
            </w:r>
            <w:r w:rsidR="00FE5CF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, care prevede că Agenția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aprobă metodologia de calculare, aprobare </w:t>
            </w:r>
            <w:r w:rsidR="00B05DF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aplicare a </w:t>
            </w:r>
            <w:r w:rsidR="00B05DF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tarifelor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reglementate </w:t>
            </w:r>
            <w:r w:rsidR="00B05DF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de distribuție a energiei electrice, 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precum </w:t>
            </w:r>
            <w:r w:rsidR="00DD2DEC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tarifele reglementate prevăzute la art. 129 alin. (2) lit. </w:t>
            </w:r>
            <w:r w:rsidR="00B05DF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), de asemenea monitorizează corectitudinea aplicării de către titularii de </w:t>
            </w:r>
            <w:r w:rsidR="00874221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licențe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metodologi</w:t>
            </w:r>
            <w:r w:rsidR="00B05DF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ei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respective, precum </w:t>
            </w:r>
            <w:r w:rsidR="00DD2DEC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tarifelor reglementate aprobate în conformitate cu ace</w:t>
            </w:r>
            <w:r w:rsidR="0051362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ast</w:t>
            </w:r>
            <w:r w:rsidR="003171C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FE5CF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3D6E8872" w14:textId="5FCC178A" w:rsidR="0050720D" w:rsidRPr="00861EE9" w:rsidRDefault="003171CA" w:rsidP="000E7D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Subs</w:t>
            </w:r>
            <w:r w:rsidR="00F722C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ecvent art. 129 alin. (2) lit. </w:t>
            </w:r>
            <w:r w:rsidR="00466F6A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stipulează că în categoria prețurilor și tarifelor reglementate se încadrează </w:t>
            </w:r>
            <w:r w:rsidR="000E7D2D" w:rsidRPr="00861E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049D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serviciul de distribuție a energiei electrice, inclusiv tarifele </w:t>
            </w:r>
            <w:proofErr w:type="spellStart"/>
            <w:r w:rsidR="0004049D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diferenţiate</w:t>
            </w:r>
            <w:proofErr w:type="spellEnd"/>
            <w:r w:rsidR="0004049D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în </w:t>
            </w:r>
            <w:proofErr w:type="spellStart"/>
            <w:r w:rsidR="0004049D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funcţie</w:t>
            </w:r>
            <w:proofErr w:type="spellEnd"/>
            <w:r w:rsidR="0004049D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de nivelul de tensiune al </w:t>
            </w:r>
            <w:proofErr w:type="spellStart"/>
            <w:r w:rsidR="0004049D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reţelelor</w:t>
            </w:r>
            <w:proofErr w:type="spellEnd"/>
            <w:r w:rsidR="0004049D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electrice de </w:t>
            </w:r>
            <w:proofErr w:type="spellStart"/>
            <w:r w:rsidR="0004049D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distribuţie</w:t>
            </w:r>
            <w:proofErr w:type="spellEnd"/>
            <w:r w:rsidR="0004049D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;</w:t>
            </w:r>
          </w:p>
        </w:tc>
      </w:tr>
      <w:tr w:rsidR="003946CD" w:rsidRPr="00861EE9" w14:paraId="6F56D62C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5D900D2C" w:rsidR="008B4BE6" w:rsidRPr="00861EE9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2.2.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Descrierea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situa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iei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actuale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problemelor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care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impun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interven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ia,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inclusiv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C7769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cadrul</w:t>
            </w:r>
            <w:r w:rsidR="005C7769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ui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normativ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aplicabil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C7769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deficien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el</w:t>
            </w:r>
            <w:r w:rsidR="005C7769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/lacunel</w:t>
            </w:r>
            <w:r w:rsidR="005C7769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normative</w:t>
            </w:r>
          </w:p>
        </w:tc>
      </w:tr>
      <w:tr w:rsidR="003946CD" w:rsidRPr="00861EE9" w14:paraId="30963134" w14:textId="77777777" w:rsidTr="00FE5CF7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137E" w14:textId="77777777" w:rsidR="0050720D" w:rsidRPr="00861EE9" w:rsidRDefault="0050720D" w:rsidP="005105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9310E82" w14:textId="7AEF71A2" w:rsidR="00CA63B9" w:rsidRPr="00861EE9" w:rsidRDefault="00540F39" w:rsidP="00CA63B9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>La momentul actual calcularea, aprobarea și aplicarea tarifelor reglementate pentru serviciul de distribuție a energiei electrice se realizează în baza Metodologiei de calculare, aprobare și aplicare a tarifelor reglementate pentru serviciul de distribuție a energiei electrice aprobate prin Hotărârea Consiliului de administrație al ANRE nr. 247/20</w:t>
            </w:r>
            <w:r w:rsidR="00CA63B9" w:rsidRPr="00861EE9">
              <w:rPr>
                <w:rFonts w:ascii="Times New Roman" w:hAnsi="Times New Roman"/>
                <w:sz w:val="24"/>
                <w:szCs w:val="24"/>
                <w:lang w:val="ro-MD"/>
              </w:rPr>
              <w:t>25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</w:t>
            </w:r>
            <w:r w:rsidR="00CA63B9" w:rsidRPr="00861EE9">
              <w:rPr>
                <w:rFonts w:ascii="Times New Roman" w:hAnsi="Times New Roman"/>
                <w:sz w:val="24"/>
                <w:szCs w:val="24"/>
                <w:lang w:val="ro-MD"/>
              </w:rPr>
              <w:t>16.05.2025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CE1E74" w:rsidRPr="00861EE9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(în continuare – Metodologie)</w:t>
            </w:r>
            <w:r w:rsidRPr="00861EE9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.</w:t>
            </w:r>
          </w:p>
          <w:p w14:paraId="612D71CF" w14:textId="1AB318DE" w:rsidR="00BD58DC" w:rsidRPr="00861EE9" w:rsidRDefault="00CA63B9" w:rsidP="00FE093A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>De menționat, că în</w:t>
            </w:r>
            <w:r w:rsidR="002F4D6B"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cadrul procesului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2F4D6B"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consultări publice a proiectului Metodologiei, operatorul sistemului de distribuție </w:t>
            </w:r>
            <w:r w:rsidR="002F4D6B" w:rsidRPr="00861EE9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(în continuare – OSD)</w:t>
            </w:r>
            <w:r w:rsidR="002F4D6B"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Î.C.S. „Premier Energy Distribution” S.A. a venit cu propunerea</w:t>
            </w:r>
            <w:r w:rsidR="00BD58DC"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</w:t>
            </w:r>
            <w:r w:rsidR="002F4D6B"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BD58DC"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excludere în totalitate a indicele de creștere a eficienței OSD din expresia de actualizare a costurilor cu personalul  </w:t>
            </w:r>
            <w:r w:rsidR="00BD58DC" w:rsidRPr="00861EE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>X</w:t>
            </w:r>
            <w:r w:rsidR="00BD58DC" w:rsidRPr="00861EE9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  <w:lang w:val="ro-RO" w:eastAsia="ru-RU"/>
              </w:rPr>
              <w:t>1</w:t>
            </w:r>
            <w:r w:rsidR="00BD58DC" w:rsidRPr="00861EE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 w:eastAsia="ru-RU"/>
              </w:rPr>
              <w:t xml:space="preserve"> </w:t>
            </w:r>
            <w:r w:rsidR="00BD58DC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– indicele de </w:t>
            </w:r>
            <w:proofErr w:type="spellStart"/>
            <w:r w:rsidR="00BD58DC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creştere</w:t>
            </w:r>
            <w:proofErr w:type="spellEnd"/>
            <w:r w:rsidR="00BD58DC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 </w:t>
            </w:r>
            <w:proofErr w:type="spellStart"/>
            <w:r w:rsidR="00BD58DC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eficienţei</w:t>
            </w:r>
            <w:proofErr w:type="spellEnd"/>
            <w:r w:rsidR="00BD58DC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OSD pentru reducerea costurilor de distribuţie. Acest indice este stabilit constant pentru toată perioadă de aplicare a Metodologiei în </w:t>
            </w:r>
            <w:proofErr w:type="spellStart"/>
            <w:r w:rsidR="00BD58DC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proporţie</w:t>
            </w:r>
            <w:proofErr w:type="spellEnd"/>
            <w:r w:rsidR="00BD58DC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de 0,2 din indicele </w:t>
            </w:r>
            <w:proofErr w:type="spellStart"/>
            <w:r w:rsidR="00BD58DC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preţurilor</w:t>
            </w:r>
            <w:proofErr w:type="spellEnd"/>
            <w:r w:rsidR="00BD58DC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de consum din Republica Moldova, X</w:t>
            </w:r>
            <w:r w:rsidR="00BD58DC" w:rsidRPr="00861EE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 w:eastAsia="ru-RU"/>
              </w:rPr>
              <w:t>1</w:t>
            </w:r>
            <w:r w:rsidR="00BD58DC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=0,2×IPCM</w:t>
            </w:r>
            <w:r w:rsidR="00BD58DC" w:rsidRPr="00861EE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 w:eastAsia="ru-RU"/>
              </w:rPr>
              <w:t>n</w:t>
            </w:r>
            <w:r w:rsidR="00BD58DC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 propunere care nu a fost acceptată din autoritatea de reglementare.</w:t>
            </w:r>
          </w:p>
          <w:p w14:paraId="361A2925" w14:textId="40E6559F" w:rsidR="00BD58DC" w:rsidRPr="00861EE9" w:rsidRDefault="00BD58DC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Cu toate acestea, în cadrul ședinței de aprobare a 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proiectului Metodologiei, considerând argumentele suplimentare invocate de OSD, a fost decisă reducerea </w:t>
            </w:r>
            <w:r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indicelui de </w:t>
            </w:r>
            <w:proofErr w:type="spellStart"/>
            <w:r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creştere</w:t>
            </w:r>
            <w:proofErr w:type="spellEnd"/>
            <w:r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 </w:t>
            </w:r>
            <w:proofErr w:type="spellStart"/>
            <w:r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eficienţei</w:t>
            </w:r>
            <w:proofErr w:type="spellEnd"/>
            <w:r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OSD </w:t>
            </w:r>
            <w:r w:rsidRPr="00861EE9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exclusiv pentru actualizarea costurilor cu personalul</w:t>
            </w:r>
            <w:r w:rsidRPr="00861EE9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la</w:t>
            </w:r>
            <w:r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valoarea de 0,1 din indicele </w:t>
            </w:r>
            <w:proofErr w:type="spellStart"/>
            <w:r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preţurilor</w:t>
            </w:r>
            <w:proofErr w:type="spellEnd"/>
            <w:r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de consum din Republica Moldova, X</w:t>
            </w:r>
            <w:r w:rsidRPr="00861EE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 w:eastAsia="ru-RU"/>
              </w:rPr>
              <w:t>1</w:t>
            </w:r>
            <w:r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=0,1×IPCM</w:t>
            </w:r>
            <w:r w:rsidRPr="00861EE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 w:eastAsia="ru-RU"/>
              </w:rPr>
              <w:t>n</w:t>
            </w:r>
            <w:r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 fapt agreat în cadrul ședinței</w:t>
            </w:r>
            <w:r w:rsidR="00F62529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publice a consiliului de administrație al ANRE</w:t>
            </w:r>
            <w:r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. </w:t>
            </w:r>
          </w:p>
          <w:p w14:paraId="2244ED27" w14:textId="1C14BAF5" w:rsidR="00AE2BD2" w:rsidRPr="00861EE9" w:rsidRDefault="007A4A54" w:rsidP="00861EE9">
            <w:pPr>
              <w:ind w:firstLine="596"/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  <w:r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Subsecvent, considerând că în cadrul formulelor de actualizare a </w:t>
            </w:r>
            <w:r w:rsidR="00077C26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(</w:t>
            </w:r>
            <w:proofErr w:type="spellStart"/>
            <w:r w:rsidR="003C1CD8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CIED</w:t>
            </w:r>
            <w:r w:rsidR="003C1CD8" w:rsidRPr="00861EE9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ro-MD"/>
              </w:rPr>
              <w:t>n</w:t>
            </w:r>
            <w:proofErr w:type="spellEnd"/>
            <w:r w:rsidR="00077C26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)</w:t>
            </w:r>
            <w:r w:rsidR="003C1CD8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 – costuril</w:t>
            </w:r>
            <w:r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or</w:t>
            </w:r>
            <w:r w:rsidR="003C1CD8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 de întreținere </w:t>
            </w:r>
            <w:proofErr w:type="spellStart"/>
            <w:r w:rsidR="003C1CD8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şi</w:t>
            </w:r>
            <w:proofErr w:type="spellEnd"/>
            <w:r w:rsidR="003C1CD8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 exploatare a rețelelor electrice de distribuție, a altui utilaj de distribuție</w:t>
            </w:r>
            <w:r w:rsidR="004D22AA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 (formula 36)</w:t>
            </w:r>
            <w:r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, </w:t>
            </w:r>
            <w:r w:rsidR="004D22AA" w:rsidRPr="00861EE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(CMED) – c</w:t>
            </w:r>
            <w:r w:rsidR="00077C26" w:rsidRPr="00861EE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osturilor legate de măsurarea energiei electrice distribuite</w:t>
            </w:r>
            <w:r w:rsidR="004D22AA" w:rsidRPr="00861EE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(formula 40),</w:t>
            </w:r>
            <w:r w:rsidR="00077C26" w:rsidRPr="00861EE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Pr="00861EE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și </w:t>
            </w:r>
            <w:r w:rsidR="004D22AA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(CDA)</w:t>
            </w:r>
            <w:r w:rsidR="004D22AA" w:rsidRPr="00861EE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– </w:t>
            </w:r>
            <w:r w:rsidRPr="00861EE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077C26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cheltuielil</w:t>
            </w:r>
            <w:r w:rsidR="004D22AA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or</w:t>
            </w:r>
            <w:r w:rsidR="00077C26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 de distribuire și administrative</w:t>
            </w:r>
            <w:r w:rsidR="004D22AA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 (formula 49), de asemenea figura variabila „</w:t>
            </w:r>
            <w:r w:rsidR="004D22AA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X</w:t>
            </w:r>
            <w:r w:rsidR="004D22AA" w:rsidRPr="00861EE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 w:eastAsia="ru-RU"/>
              </w:rPr>
              <w:t>1</w:t>
            </w:r>
            <w:r w:rsidR="004D22AA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” care însă urma să fie dublă</w:t>
            </w:r>
            <w:r w:rsidR="00905108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ca valoare</w:t>
            </w:r>
            <w:r w:rsidR="004D22AA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față de valoarea utilizată în cadrul formulei aferente </w:t>
            </w:r>
            <w:r w:rsidR="004D22AA" w:rsidRPr="00861EE9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actualizării costurilor cu personalul </w:t>
            </w:r>
            <w:r w:rsidR="004D22AA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(0,2×IPCM</w:t>
            </w:r>
            <w:r w:rsidR="004D22AA" w:rsidRPr="00861EE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 w:eastAsia="ru-RU"/>
              </w:rPr>
              <w:t>n</w:t>
            </w:r>
            <w:r w:rsidR="004D22AA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) s-a creat situația în care OSD poate nejustificat beneficia de o creștere a costurilor pe</w:t>
            </w:r>
            <w:r w:rsidR="00B93536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ntru compartimentele </w:t>
            </w:r>
            <w:r w:rsidR="00B93536" w:rsidRPr="00861EE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lastRenderedPageBreak/>
              <w:t>menționate, fapt care deviază de la principiile stabilite și agreate de recuperare a costurilor aferente activității de distribuție prestată de OSD-uri.</w:t>
            </w:r>
          </w:p>
          <w:p w14:paraId="1313AB52" w14:textId="77777777" w:rsidR="00C03147" w:rsidRPr="00861EE9" w:rsidRDefault="00C03147" w:rsidP="00C03147">
            <w:pPr>
              <w:ind w:left="1447" w:hanging="738"/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</w:p>
          <w:p w14:paraId="37102D85" w14:textId="77777777" w:rsidR="00FE093A" w:rsidRPr="00861EE9" w:rsidRDefault="00FE093A" w:rsidP="00CA63B9">
            <w:pPr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  <w:r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Astfel, pentru a reduce handicapul creat se propune modificarea în cadrul formulelor (36), (40) și (49) a indicelui X</w:t>
            </w:r>
            <w:r w:rsidRPr="00861EE9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ro-MD"/>
              </w:rPr>
              <w:t>1</w:t>
            </w:r>
            <w:r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 în X</w:t>
            </w:r>
            <w:r w:rsidRPr="00861EE9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ro-MD"/>
              </w:rPr>
              <w:t>3</w:t>
            </w:r>
            <w:r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, astfel ca acesta să reflecte corect valoarea reducerii costurilor de distribuție aferente compartimentelor de costuri de întreținere şi exploatare a rețelelor electrice de distribuție, a altui utilaj de distribuție, </w:t>
            </w:r>
            <w:r w:rsidRPr="00861EE9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costurilor legate de măsurarea energiei electrice distribuite și </w:t>
            </w:r>
            <w:r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cheltuielilor de distribuire și administrative.</w:t>
            </w:r>
          </w:p>
          <w:p w14:paraId="567ED4E3" w14:textId="62B25347" w:rsidR="00FE093A" w:rsidRPr="00861EE9" w:rsidRDefault="00FE093A" w:rsidP="00CA63B9">
            <w:pPr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  <w:r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 </w:t>
            </w:r>
            <w:r w:rsidR="00B93536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În acest sens se propune următoarea descifrare (explicație) a componentei „X</w:t>
            </w:r>
            <w:r w:rsidR="00B93536" w:rsidRPr="00861EE9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ro-MD"/>
              </w:rPr>
              <w:t>3</w:t>
            </w:r>
            <w:r w:rsidR="00B93536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”.</w:t>
            </w:r>
          </w:p>
          <w:p w14:paraId="6E31B5B7" w14:textId="77777777" w:rsidR="00B93536" w:rsidRPr="00861EE9" w:rsidRDefault="00B93536" w:rsidP="00CA63B9">
            <w:pPr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</w:p>
          <w:p w14:paraId="0F615030" w14:textId="24A66527" w:rsidR="003C1CD8" w:rsidRPr="00861EE9" w:rsidRDefault="00C03147" w:rsidP="00CA63B9">
            <w:pPr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</w:pPr>
            <w:r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 </w:t>
            </w:r>
            <w:r w:rsidRPr="00861EE9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„X</w:t>
            </w:r>
            <w:r w:rsidRPr="00861EE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  <w:lang w:val="ro-MD"/>
              </w:rPr>
              <w:t>3</w:t>
            </w:r>
            <w:r w:rsidRPr="00861EE9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 xml:space="preserve"> – indicele de creștere a eficienței OSD pentru reducerea costurilor de distribuție. Acest indice este stabilit constant pentru toată perioadă de aplicare a Metodologiei în proporție de 0,2 din indicele prețurilor de consum din Republica Moldova, X</w:t>
            </w:r>
            <w:r w:rsidRPr="00861EE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  <w:lang w:val="ro-MD"/>
              </w:rPr>
              <w:t>3</w:t>
            </w:r>
            <w:r w:rsidRPr="00861EE9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=0,2×IPCM</w:t>
            </w:r>
            <w:r w:rsidRPr="00861EE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  <w:lang w:val="ro-MD"/>
              </w:rPr>
              <w:t>n</w:t>
            </w:r>
            <w:r w:rsidR="00DA4153" w:rsidRPr="00861EE9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.</w:t>
            </w:r>
            <w:r w:rsidR="00B93536" w:rsidRPr="00861EE9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”</w:t>
            </w:r>
          </w:p>
          <w:p w14:paraId="0C25B4F8" w14:textId="1D9C37D5" w:rsidR="00DA4153" w:rsidRPr="00861EE9" w:rsidRDefault="00DA4153" w:rsidP="00CA63B9">
            <w:pPr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</w:p>
          <w:p w14:paraId="1747D9C1" w14:textId="2EFBF21C" w:rsidR="008765F3" w:rsidRPr="00861EE9" w:rsidRDefault="00B93536" w:rsidP="00CA63B9">
            <w:pPr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  <w:r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R</w:t>
            </w:r>
            <w:r w:rsidR="00DA4153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aționamentul intervenției</w:t>
            </w:r>
            <w:r w:rsidR="004261F9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 constă în aplicarea corectă a </w:t>
            </w:r>
            <w:r w:rsidR="008765F3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indicelui de creștere a eficienței OSD pentru reducerea costurilor de distribuție, în scopul utilizării elementelor stimulatorii pentru operatorul sistemului de distribuție a energiei electrice.</w:t>
            </w:r>
          </w:p>
          <w:p w14:paraId="60D97242" w14:textId="77777777" w:rsidR="008765F3" w:rsidRPr="00861EE9" w:rsidRDefault="008765F3" w:rsidP="00CA63B9">
            <w:pPr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</w:p>
          <w:p w14:paraId="5788F8EB" w14:textId="77777777" w:rsidR="008765F3" w:rsidRPr="00861EE9" w:rsidRDefault="008765F3" w:rsidP="00CA63B9">
            <w:pPr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  <w:r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Problema care urmează a fi soluționată prin intervenția propusă este următoarea:</w:t>
            </w:r>
          </w:p>
          <w:p w14:paraId="7F7D30BE" w14:textId="77777777" w:rsidR="008765F3" w:rsidRPr="00861EE9" w:rsidRDefault="008765F3" w:rsidP="00CA63B9">
            <w:pPr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</w:p>
          <w:p w14:paraId="0D16A087" w14:textId="38332D6A" w:rsidR="00DA4153" w:rsidRPr="00861EE9" w:rsidRDefault="008765F3" w:rsidP="008765F3">
            <w:pPr>
              <w:pStyle w:val="afb"/>
              <w:numPr>
                <w:ilvl w:val="0"/>
                <w:numId w:val="21"/>
              </w:numPr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  <w:r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Necesitatea modificării componentei </w:t>
            </w:r>
            <w:r w:rsidR="00FE093A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„</w:t>
            </w:r>
            <w:r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X</w:t>
            </w:r>
            <w:r w:rsidR="00FE093A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” </w:t>
            </w:r>
            <w:r w:rsidR="000742DA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ale cheltuielilor determinate prin  formulele 36, 40 și 49 </w:t>
            </w:r>
            <w:r w:rsidR="00FE093A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î</w:t>
            </w:r>
            <w:r w:rsidR="001B16D6"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n scopul eficientizării cheltuielilor operatorului de sistem. </w:t>
            </w:r>
            <w:r w:rsidRPr="00861EE9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  </w:t>
            </w:r>
          </w:p>
          <w:p w14:paraId="0D829906" w14:textId="16E80241" w:rsidR="003C1CD8" w:rsidRPr="00861EE9" w:rsidRDefault="003C1CD8" w:rsidP="00957BD1">
            <w:pPr>
              <w:ind w:firstLine="0"/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</w:p>
          <w:p w14:paraId="79082257" w14:textId="5D5E38D3" w:rsidR="00FD05F8" w:rsidRPr="00861EE9" w:rsidRDefault="003C7D93" w:rsidP="00FD05F8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>Cauza care a dus la apariția problemei</w:t>
            </w:r>
            <w:r w:rsidR="00FD05F8"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expuse 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>este</w:t>
            </w:r>
            <w:r w:rsidR="00FD05F8"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următoare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="00FD05F8"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: </w:t>
            </w:r>
          </w:p>
          <w:p w14:paraId="33942607" w14:textId="5583B535" w:rsidR="00FD05F8" w:rsidRPr="00861EE9" w:rsidRDefault="00FD05F8" w:rsidP="00FD05F8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38CB83DA" w14:textId="1E6210A1" w:rsidR="00FD05F8" w:rsidRPr="00861EE9" w:rsidRDefault="003C7D93" w:rsidP="003C7D93">
            <w:pPr>
              <w:pStyle w:val="afb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Aplicarea eronată a componentei </w:t>
            </w:r>
            <w:r w:rsidR="00FE093A" w:rsidRPr="00861EE9">
              <w:rPr>
                <w:rFonts w:ascii="Times New Roman" w:hAnsi="Times New Roman"/>
                <w:sz w:val="24"/>
                <w:szCs w:val="24"/>
                <w:lang w:val="ro-MD"/>
              </w:rPr>
              <w:t>„</w:t>
            </w:r>
            <w:r w:rsidR="00814333" w:rsidRPr="00861EE9">
              <w:rPr>
                <w:rFonts w:ascii="Times New Roman" w:hAnsi="Times New Roman"/>
                <w:sz w:val="24"/>
                <w:szCs w:val="24"/>
                <w:lang w:val="ro-MD"/>
              </w:rPr>
              <w:t>X</w:t>
            </w:r>
            <w:r w:rsidR="00FE093A" w:rsidRPr="00861EE9">
              <w:rPr>
                <w:rFonts w:ascii="Times New Roman" w:hAnsi="Times New Roman"/>
                <w:sz w:val="24"/>
                <w:szCs w:val="24"/>
                <w:lang w:val="ro-MD"/>
              </w:rPr>
              <w:t>”</w:t>
            </w:r>
            <w:r w:rsidR="00814333"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la determinarea cheltuielilor suportate de operatorul de sistem</w:t>
            </w:r>
            <w:r w:rsidR="00B93536" w:rsidRPr="00861EE9">
              <w:rPr>
                <w:rFonts w:ascii="Times New Roman" w:hAnsi="Times New Roman"/>
                <w:sz w:val="24"/>
                <w:szCs w:val="24"/>
                <w:lang w:val="ro-MD"/>
              </w:rPr>
              <w:t>, pentru diferite compartimente de cheltuieli</w:t>
            </w:r>
            <w:r w:rsidR="008E4506" w:rsidRPr="00861EE9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00CAA427" w14:textId="77777777" w:rsidR="00FD05F8" w:rsidRPr="00861EE9" w:rsidRDefault="00FD05F8" w:rsidP="00CA63B9">
            <w:pPr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</w:p>
          <w:p w14:paraId="7EE6FB82" w14:textId="175185A1" w:rsidR="006E1EA1" w:rsidRPr="00861EE9" w:rsidRDefault="006E1EA1" w:rsidP="006E1EA1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>În ceea ce privește părțile interesate de soluționarea probleme</w:t>
            </w:r>
            <w:r w:rsidR="001E36EE" w:rsidRPr="00861EE9">
              <w:rPr>
                <w:rFonts w:ascii="Times New Roman" w:hAnsi="Times New Roman"/>
                <w:sz w:val="24"/>
                <w:szCs w:val="24"/>
                <w:lang w:val="ro-MD"/>
              </w:rPr>
              <w:t>i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expuse anterior, aici desigur putem menționa următoarele: </w:t>
            </w:r>
          </w:p>
          <w:p w14:paraId="673DCC6C" w14:textId="77777777" w:rsidR="00B23CD1" w:rsidRPr="00861EE9" w:rsidRDefault="00B23CD1" w:rsidP="00235AF1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7690E0AB" w14:textId="3F621A81" w:rsidR="001E36EE" w:rsidRPr="00861EE9" w:rsidRDefault="001E36EE" w:rsidP="001E36EE">
            <w:pPr>
              <w:pStyle w:val="afb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61EE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Operatorii sistemelor de distribuție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– ca entitățile cele mai interesate în a avea un cadrul transparent care să reflecte corect și integral costurile suportate de aceștia în procesul de prestare a serviciului reglementat.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În Republica Moldova există 2 operatori ai sistemului de distribuție și anume:  Î.C.S. „Premier Energy Distribution” S.A. (capital privat), și S.A. „RED Nord” (capital de stat). Astfel conform datelor în anul 2025 Î.C.S. „Premier Energy Distribution” S.A. a distribuit cca 74,3 % din consumul final de energie electrică, respectiv S.A. „RED Nord” distribuind cca 25,7 %.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14:paraId="53DC4B73" w14:textId="75687289" w:rsidR="001E36EE" w:rsidRPr="00861EE9" w:rsidRDefault="001E36EE" w:rsidP="001E36EE">
            <w:pPr>
              <w:pStyle w:val="afb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61EE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Consumatorii finali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– considerând că și acești participanți la piață sunt cointeresați în reglementarea corectă și echidistantă a costurilor OSD în vederea excluderii posibilității introducerii unor costuri care nu sunt necesare sau sunt nejustificat de mari.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La sfârșitul anului 202</w:t>
            </w:r>
            <w:r w:rsidR="000B737F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numărul locurilor de consum aferent consumatorilor casnici este </w:t>
            </w:r>
            <w:r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1 3</w:t>
            </w:r>
            <w:r w:rsidR="00957BD1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51</w:t>
            </w:r>
            <w:r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957BD1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777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iar numărul locurilor de consum aferent consumatorilor non-casnici este egal cu cca </w:t>
            </w:r>
            <w:r w:rsidR="00957BD1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101</w:t>
            </w:r>
            <w:r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8</w:t>
            </w:r>
            <w:r w:rsidR="00957BD1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70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; </w:t>
            </w:r>
          </w:p>
          <w:p w14:paraId="3B8921F2" w14:textId="77777777" w:rsidR="00957BD1" w:rsidRPr="00861EE9" w:rsidRDefault="00957BD1" w:rsidP="00957BD1">
            <w:pPr>
              <w:pStyle w:val="afb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61EE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Furnizorii de energie electrică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– reprezintă entități care furnizează energie electrică la prețuri negociate sau reglementate în conformitate cu obligația de serviciu public de realizare a furnizării de serviciu universal sau de ultimă opțiune. La momentul elaborării notei de fundamentare în conformitate cu registrul PRE existau 36 de furnizori, dintre care doar 4 furnizează energie electrică consumatorilor finali și anume:  „Î.C.S. „Premier Energy” S.R.L., „FEE-Nord” S.A. „</w:t>
            </w:r>
            <w:proofErr w:type="spellStart"/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>Navitas</w:t>
            </w:r>
            <w:proofErr w:type="spellEnd"/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Energy” S.R.L., „ML ENERGY-GROUP” S.R.L.”. De menționat aici că dintre aceștia primii doi furnizează cca 99,6% din energia electrică la nivelul Republicii Moldova. Considerând faptul că furnizorii de energie electrică sunt obligați să achite serviciile de transport și 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de distribuție a energiei electrice, este evident interesul acestora față de existența unui cadru normativ transparent și justificat, care o să garanteze un grad sporit de predictibilitate necesar desfășurării unei activități comerciale și economice.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19FA07B" w14:textId="5DAB3A13" w:rsidR="001E36EE" w:rsidRPr="00861EE9" w:rsidRDefault="001E36EE" w:rsidP="00957BD1">
            <w:pPr>
              <w:pStyle w:val="afb"/>
              <w:ind w:left="1429"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2E7FC0E5" w14:textId="5DF69CC5" w:rsidR="00957BD1" w:rsidRPr="00861EE9" w:rsidRDefault="00957BD1" w:rsidP="00957BD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ceea ce privește potențialele consecințe în lipsa intervenției de reglementare, aplicarea scenariului actual „scenariului de bază”, se poate materializa în următoarele riscuri financiare și efecte negative pentru OSD: </w:t>
            </w:r>
          </w:p>
          <w:p w14:paraId="057D1116" w14:textId="21ACF5A5" w:rsidR="007901CE" w:rsidRPr="00861EE9" w:rsidRDefault="007901CE" w:rsidP="00861EE9">
            <w:pPr>
              <w:shd w:val="clear" w:color="auto" w:fill="FFFFFF" w:themeFill="background1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3D3824" w14:textId="49DCA4BF" w:rsidR="007901CE" w:rsidRPr="00861EE9" w:rsidRDefault="007901CE" w:rsidP="00957BD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• </w:t>
            </w:r>
            <w:r w:rsidR="00DB37E1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Operatorul de sistem nu va fi stimulat pentru a contribui la reducerea </w:t>
            </w:r>
            <w:r w:rsidR="005100FE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cheltuielilor</w:t>
            </w:r>
            <w:r w:rsidR="00DB37E1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7AF8A9C7" w14:textId="6C858D50" w:rsidR="00FF45C7" w:rsidRPr="00861EE9" w:rsidRDefault="00FF45C7" w:rsidP="00947085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946CD" w:rsidRPr="00861EE9" w14:paraId="595D390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5D76" w14:textId="77777777" w:rsidR="00D927DB" w:rsidRPr="00861EE9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3.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Obiectivele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urmărite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solu</w:t>
            </w:r>
            <w:r w:rsidR="00863417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  <w:p w14:paraId="1D7C19CC" w14:textId="77777777" w:rsidR="00FF45C7" w:rsidRPr="00861EE9" w:rsidRDefault="00FF45C7" w:rsidP="00FF45C7">
            <w:pPr>
              <w:ind w:firstLine="59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8C75D5" w14:textId="77777777" w:rsidR="006715F1" w:rsidRPr="00861EE9" w:rsidRDefault="006715F1" w:rsidP="006715F1">
            <w:pPr>
              <w:ind w:firstLine="59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Principalele obiective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urmărite prin aprobarea Metodologiei de calculare, aprobare și aplicare a tarifelor reglementate pentru serviciul de distribuție a energiei electrice sunt următoarele:</w:t>
            </w:r>
          </w:p>
          <w:p w14:paraId="6C2185E3" w14:textId="77777777" w:rsidR="00FF45C7" w:rsidRPr="00861EE9" w:rsidRDefault="00FF45C7" w:rsidP="00FF45C7">
            <w:pPr>
              <w:ind w:firstLine="59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1D19DE" w14:textId="09D63756" w:rsidR="00D94352" w:rsidRPr="00861EE9" w:rsidRDefault="00132CC3" w:rsidP="00132CC3">
            <w:pPr>
              <w:pStyle w:val="af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Viabilitatea financiară a OSD prin asigurarea faptului că OSD</w:t>
            </w:r>
            <w:r w:rsidR="00D9435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va recupera toate cheltuielile reglementate, strict necesare și argumentate în legătură cu prestarea serviciului de transport a energiei electrice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54B2F3EB" w14:textId="77777777" w:rsidR="00132CC3" w:rsidRPr="00861EE9" w:rsidRDefault="00132CC3" w:rsidP="00132CC3">
            <w:pPr>
              <w:pStyle w:val="af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Stabilirea unui cadru transparent, echidistant și justificat necesar calculării, aprobării și aplicării tarifelor reglementate pentru serviciul de distribuție a energiei electrice;</w:t>
            </w:r>
          </w:p>
          <w:p w14:paraId="6434D1B0" w14:textId="1208E3F0" w:rsidR="00FF45C7" w:rsidRPr="00861EE9" w:rsidRDefault="00FF45C7" w:rsidP="00D830AB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3946CD" w:rsidRPr="00861EE9" w14:paraId="256ADAC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A2D06" w14:textId="0AB7A47D" w:rsidR="00A02A31" w:rsidRPr="00861EE9" w:rsidRDefault="00D927DB" w:rsidP="00A02A3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3.1.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Principalele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prevederi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ale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proiectului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eviden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ierea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elementelor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noi</w:t>
            </w:r>
            <w:r w:rsidR="00634BC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E4919AE" w14:textId="3F3015C1" w:rsidR="00A02A31" w:rsidRPr="00861EE9" w:rsidRDefault="00A02A31" w:rsidP="00A02A31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946CD" w:rsidRPr="00861EE9" w14:paraId="34C63CD5" w14:textId="77777777" w:rsidTr="002511B2">
        <w:trPr>
          <w:trHeight w:val="324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655D76" w14:textId="77777777" w:rsidR="004F5D30" w:rsidRPr="00861EE9" w:rsidRDefault="004F5D30" w:rsidP="00A02A31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59EB30" w14:textId="10D9130C" w:rsidR="00947085" w:rsidRPr="00861EE9" w:rsidRDefault="008E7245" w:rsidP="00861EE9">
            <w:pPr>
              <w:pStyle w:val="afb"/>
              <w:ind w:left="593" w:firstLine="567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>Unicele intervenții</w:t>
            </w:r>
            <w:r w:rsidR="0053274E"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>aferente</w:t>
            </w:r>
            <w:r w:rsidR="0053274E"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proiectului</w:t>
            </w:r>
            <w:r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modificare a Metodologiei</w:t>
            </w:r>
            <w:r w:rsidR="0053274E" w:rsidRPr="00861E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947085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vizează aplicarea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47085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indicelui de creștere a eficienței în cuantum de 0,2 din IPCM pentru CIED, CMED și CDA din formulele 36, 40 și 49. Necesitatea modificării constă în aplicarea greșită a indicelui de creștere a eficienței în cuantum de 10% din IPCM. Pentru componentele CIED, CMED și CDA indicele de eficiență trebuie să constituie </w:t>
            </w:r>
            <w:r w:rsidR="00947085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20% din IPCM.</w:t>
            </w:r>
          </w:p>
          <w:p w14:paraId="145DDEC4" w14:textId="2E3F317A" w:rsidR="000563FF" w:rsidRPr="00861EE9" w:rsidRDefault="00BF711B" w:rsidP="009557CC">
            <w:pPr>
              <w:ind w:firstLine="28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</w:t>
            </w:r>
          </w:p>
          <w:p w14:paraId="4C9535F9" w14:textId="6A79FD33" w:rsidR="00B74B51" w:rsidRPr="00861EE9" w:rsidRDefault="002C4DEC" w:rsidP="00947085">
            <w:pPr>
              <w:pStyle w:val="afb"/>
              <w:ind w:left="1069" w:hanging="47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Rezultatul scontat</w:t>
            </w:r>
            <w:r w:rsidR="0087712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rezultatul inter</w:t>
            </w:r>
            <w:r w:rsidR="003459C0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venției propuse este următorul</w:t>
            </w:r>
            <w:r w:rsidR="0087712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</w:p>
          <w:p w14:paraId="0BCF7B16" w14:textId="77777777" w:rsidR="00947085" w:rsidRPr="00861EE9" w:rsidRDefault="00947085" w:rsidP="00947085">
            <w:pPr>
              <w:pStyle w:val="afb"/>
              <w:ind w:left="1069" w:hanging="47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F07B7C" w14:textId="4A32A9E8" w:rsidR="007665E4" w:rsidRPr="00861EE9" w:rsidRDefault="00C878B3" w:rsidP="009557CC">
            <w:pPr>
              <w:pStyle w:val="afb"/>
              <w:numPr>
                <w:ilvl w:val="0"/>
                <w:numId w:val="14"/>
              </w:numPr>
              <w:spacing w:before="24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crearea stimulentelor pentru </w:t>
            </w:r>
            <w:r w:rsidR="00FD7270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reduce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rea</w:t>
            </w:r>
            <w:r w:rsidR="009260DB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cheltuielil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or de către</w:t>
            </w:r>
            <w:r w:rsidR="00FD7270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operatorul de sistem. </w:t>
            </w:r>
          </w:p>
          <w:p w14:paraId="2AA21ECB" w14:textId="77777777" w:rsidR="007665E4" w:rsidRPr="00861EE9" w:rsidRDefault="007665E4" w:rsidP="009557CC">
            <w:pPr>
              <w:pStyle w:val="afb"/>
              <w:spacing w:before="240"/>
              <w:ind w:left="1008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9A128B" w14:textId="541825D5" w:rsidR="00501A40" w:rsidRPr="00861EE9" w:rsidRDefault="00470ABF">
            <w:pPr>
              <w:pStyle w:val="afb"/>
              <w:ind w:left="0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2C4DEC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Rezultatele scontate se așteaptă a fi obținute odată cu aplicarea proiectului de modificare a metodologiei aprobat de către autoritatea de reglementare.</w:t>
            </w:r>
          </w:p>
        </w:tc>
      </w:tr>
      <w:tr w:rsidR="003946CD" w:rsidRPr="00861EE9" w14:paraId="3761439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861EE9" w:rsidRDefault="00D927DB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3.2.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Op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iunile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alternative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analizate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motivele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44F7F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pentru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44F7F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care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acestea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au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fost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luate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în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considerare</w:t>
            </w:r>
          </w:p>
        </w:tc>
      </w:tr>
      <w:tr w:rsidR="003946CD" w:rsidRPr="00861EE9" w14:paraId="4A64D45D" w14:textId="77777777" w:rsidTr="008A4272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A5E" w14:textId="77777777" w:rsidR="008A4272" w:rsidRPr="00861EE9" w:rsidRDefault="008A4272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287EC2" w14:textId="7ED61910" w:rsidR="00813AAF" w:rsidRPr="00861EE9" w:rsidRDefault="00813AAF" w:rsidP="003459C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Din punctul de vedere al autorilor prezentei note de fundamentare, nu există o opțiune alternativă pentru soluționarea probleme</w:t>
            </w:r>
            <w:r w:rsidR="00DB590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descrise</w:t>
            </w:r>
            <w:r w:rsidR="00A679A5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or </w:t>
            </w:r>
            <w:r w:rsidR="003459C0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aplicarea incorectă a </w:t>
            </w:r>
            <w:r w:rsidR="00722FB5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componente</w:t>
            </w:r>
            <w:r w:rsidR="00DB590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8E7245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reducere a cheltuielilor pentru diferite categorii de cheltuieli distorsionează mecanismul de stimulare a reducerii acestora în funcție de categoria pentru care se aplică.</w:t>
            </w:r>
          </w:p>
          <w:p w14:paraId="12B5254E" w14:textId="2386B708" w:rsidR="00BE18D7" w:rsidRPr="00861EE9" w:rsidRDefault="00BE18D7" w:rsidP="00027BB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946CD" w:rsidRPr="00861EE9" w14:paraId="64CCC468" w14:textId="77777777" w:rsidTr="003C3DB4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861EE9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Analiza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impactului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reglementare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3946CD" w:rsidRPr="00861EE9" w14:paraId="07121640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861EE9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4.1.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sectorului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public</w:t>
            </w:r>
          </w:p>
        </w:tc>
      </w:tr>
      <w:tr w:rsidR="003946CD" w:rsidRPr="00861EE9" w14:paraId="02C0A74F" w14:textId="77777777" w:rsidTr="00945200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2052" w14:textId="5C856FEA" w:rsidR="00150D8D" w:rsidRPr="00861EE9" w:rsidRDefault="00EF4BED" w:rsidP="00F511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Nu a fost analizat impactul asupra sectorului public considerând faptul că m</w:t>
            </w:r>
            <w:r w:rsidR="003A22A0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odificarea propusă nu implică un impact asupra structurii instituționale ale administrației publice. În același timp, nu sunt prevăzute acțiuni necesare privind reformarea structurală sau </w:t>
            </w:r>
            <w:r w:rsidR="003A22A0" w:rsidRPr="00861EE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instituțională a entităților administrației publice. Funcțiile și competențele atribuite </w:t>
            </w:r>
            <w:r w:rsidR="00F93A1F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OSD</w:t>
            </w:r>
            <w:r w:rsidR="00CA0C2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768EC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A22A0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 afectează instituțiile publice. </w:t>
            </w:r>
          </w:p>
        </w:tc>
      </w:tr>
      <w:tr w:rsidR="003946CD" w:rsidRPr="00861EE9" w14:paraId="44F24487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861EE9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4.2.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financiar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argumentarea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costurilor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estimative</w:t>
            </w:r>
          </w:p>
        </w:tc>
      </w:tr>
      <w:tr w:rsidR="003946CD" w:rsidRPr="00861EE9" w14:paraId="14E8B5CF" w14:textId="77777777" w:rsidTr="00FB5C33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CE1D" w14:textId="2E2D7A7B" w:rsidR="00EF4BED" w:rsidRPr="00861EE9" w:rsidRDefault="00EF4BED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Implementarea </w:t>
            </w:r>
            <w:r w:rsidR="000F6615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proiectului de modificare a metodologiei</w:t>
            </w:r>
            <w:r w:rsidR="008768EC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calculare a 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tarifelor pentru serviciul de </w:t>
            </w:r>
            <w:r w:rsidR="00F93A1F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distribuție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energiei electrice</w:t>
            </w:r>
            <w:r w:rsidR="008768EC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 presupune un impact financiar asupra bugetului public național, considerând faptul că toate cheltuielile privind 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de </w:t>
            </w:r>
            <w:r w:rsidR="00F93A1F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distribuție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energiei electrice</w:t>
            </w:r>
            <w:r w:rsidR="00874D81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urmează a fi suportate de </w:t>
            </w:r>
            <w:r w:rsidR="00F93A1F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OSD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44C69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="00D35DE8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respectiv de</w:t>
            </w:r>
            <w:r w:rsidR="00E44C69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F6615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părțile contractante ale acestuia</w:t>
            </w:r>
            <w:r w:rsidR="00D35DE8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prin intermediul 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tarifului</w:t>
            </w:r>
            <w:r w:rsidR="00D35DE8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reglementat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1FB24408" w14:textId="72FAEF1C" w:rsidR="00FB5C33" w:rsidRPr="00861EE9" w:rsidRDefault="00EF4BED" w:rsidP="00F511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menționat aici că doar cheltuielile strict necesare și justificate urmează a fi incluse în costurile utilizate pentru determinarea și aprobarea 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tarifelor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de </w:t>
            </w:r>
            <w:r w:rsidR="00F93A1F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distribuție</w:t>
            </w:r>
            <w:r w:rsidR="00E44C69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de către operatorul de sistem</w:t>
            </w:r>
            <w:r w:rsidR="00E44C69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menționa</w:t>
            </w:r>
            <w:r w:rsidR="000F6615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t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funcția respectivă fiind în competența autorității de reglementare.   </w:t>
            </w:r>
          </w:p>
        </w:tc>
      </w:tr>
      <w:tr w:rsidR="003946CD" w:rsidRPr="00861EE9" w14:paraId="02E2B55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861EE9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4.3.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sectorului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privat</w:t>
            </w:r>
          </w:p>
        </w:tc>
      </w:tr>
      <w:tr w:rsidR="003946CD" w:rsidRPr="00861EE9" w14:paraId="77A91B97" w14:textId="77777777" w:rsidTr="003A6FFB">
        <w:trPr>
          <w:trHeight w:val="1120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8B5C" w14:textId="4E618048" w:rsidR="003149D4" w:rsidRPr="00861EE9" w:rsidRDefault="00126E53" w:rsidP="003A6FF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U</w:t>
            </w:r>
            <w:r w:rsidR="00E4146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 impact particular asupra sectorului privat în urma implementării </w:t>
            </w:r>
            <w:r w:rsidR="00AE74DE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noului act normativ</w:t>
            </w:r>
            <w:r w:rsidR="00E4146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, nu este previzionat, considerând că nu există costuri de conformare pentru IMM-uri s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au alte entități care desfășoară</w:t>
            </w:r>
            <w:r w:rsidR="00E4146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 activitate economică. </w:t>
            </w:r>
          </w:p>
        </w:tc>
      </w:tr>
      <w:tr w:rsidR="003946CD" w:rsidRPr="00861EE9" w14:paraId="760F595D" w14:textId="77777777" w:rsidTr="007D552E">
        <w:trPr>
          <w:trHeight w:val="223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D5D1" w14:textId="10438315" w:rsidR="007D552E" w:rsidRPr="00861EE9" w:rsidRDefault="007D552E" w:rsidP="007D55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4.4. Impactul social</w:t>
            </w:r>
          </w:p>
        </w:tc>
      </w:tr>
      <w:tr w:rsidR="003946CD" w:rsidRPr="00861EE9" w14:paraId="23617150" w14:textId="77777777" w:rsidTr="003A5B9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A19D" w14:textId="68A259A3" w:rsidR="007D552E" w:rsidRPr="00861EE9" w:rsidRDefault="0066219D" w:rsidP="007D55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Intrarea în vigoare a prevederilor actului normativ va avea un impact social nesemnificativ. La calcularea 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tarifelor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de </w:t>
            </w:r>
            <w:r w:rsidR="00F93A1F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distribuție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energiei electrice se vor lua în considerare doar costurile strict necesare și justificate pentru a </w:t>
            </w:r>
            <w:r w:rsidR="0093190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asigura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desfășura</w:t>
            </w:r>
            <w:r w:rsidR="0093190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rea  la propriu a activității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93A1F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OSD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Astfel va fi respectată transparența în procesul de formare a 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tarifelor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Controlul respectării </w:t>
            </w:r>
            <w:r w:rsidR="0093190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transparenței în procesul de calculare a </w:t>
            </w:r>
            <w:r w:rsidR="00F511D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tarifelor</w:t>
            </w:r>
            <w:r w:rsidR="0093190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în competența </w:t>
            </w:r>
            <w:r w:rsidR="00736AD8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ANRE</w:t>
            </w:r>
            <w:r w:rsidR="0093190D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14:paraId="1A1499EA" w14:textId="77777777" w:rsidR="007D552E" w:rsidRPr="00861EE9" w:rsidRDefault="007D552E" w:rsidP="007D552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946CD" w:rsidRPr="00861EE9" w14:paraId="7424CF32" w14:textId="77777777" w:rsidTr="00392F5D">
        <w:trPr>
          <w:trHeight w:val="1253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9115" w14:textId="3F3CDBB5" w:rsidR="008B4BE6" w:rsidRPr="00861EE9" w:rsidRDefault="00CA2822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4.4.1.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datelor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cu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caracter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personal</w:t>
            </w:r>
          </w:p>
          <w:p w14:paraId="78789FDC" w14:textId="5A39C740" w:rsidR="00BC2845" w:rsidRPr="00861EE9" w:rsidRDefault="00202015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Nu este aplicabil.</w:t>
            </w:r>
          </w:p>
          <w:p w14:paraId="102E6916" w14:textId="77777777" w:rsidR="008B4BE6" w:rsidRPr="00861EE9" w:rsidRDefault="00CA2822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4.4.2.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echită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egalită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gen</w:t>
            </w:r>
          </w:p>
          <w:p w14:paraId="5094B65C" w14:textId="611DB3B9" w:rsidR="00BC2845" w:rsidRPr="00861EE9" w:rsidRDefault="00BC2845" w:rsidP="00392F5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 este aplicabil. </w:t>
            </w:r>
          </w:p>
        </w:tc>
      </w:tr>
      <w:tr w:rsidR="003946CD" w:rsidRPr="00861EE9" w14:paraId="5A26B0A1" w14:textId="77777777" w:rsidTr="00392F5D">
        <w:trPr>
          <w:trHeight w:val="600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DE02" w14:textId="782F24FB" w:rsidR="001C364A" w:rsidRPr="00861EE9" w:rsidRDefault="006933C3" w:rsidP="001C36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mediului</w:t>
            </w:r>
          </w:p>
          <w:p w14:paraId="1ED48608" w14:textId="4B202002" w:rsidR="001C364A" w:rsidRPr="00861EE9" w:rsidRDefault="00392F5D" w:rsidP="00392F5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Nu este aplicabil.</w:t>
            </w:r>
          </w:p>
        </w:tc>
      </w:tr>
      <w:tr w:rsidR="003946CD" w:rsidRPr="00861EE9" w14:paraId="42A0201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237D" w14:textId="77777777" w:rsidR="008B4BE6" w:rsidRPr="00861EE9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  <w:r w:rsidR="00CA282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Alte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impacturi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informa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relevante</w:t>
            </w:r>
          </w:p>
          <w:p w14:paraId="033FD377" w14:textId="085DE367" w:rsidR="001C364A" w:rsidRPr="00861EE9" w:rsidRDefault="001C364A" w:rsidP="00392F5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 este aplicabil. </w:t>
            </w:r>
          </w:p>
        </w:tc>
      </w:tr>
      <w:tr w:rsidR="003946CD" w:rsidRPr="00861EE9" w14:paraId="3227BD3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8B4BE6" w:rsidRPr="00861EE9" w:rsidRDefault="006933C3" w:rsidP="007C53A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5.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Compatibilitatea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cu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legisla</w:t>
            </w:r>
            <w:r w:rsidR="00863417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ia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3946CD" w:rsidRPr="00861EE9" w14:paraId="564B5E4C" w14:textId="77777777" w:rsidTr="00745692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B487" w14:textId="77777777" w:rsidR="00976847" w:rsidRPr="00861EE9" w:rsidRDefault="006933C3" w:rsidP="007C53A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5.1.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Măsuri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normative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necesare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E0A2E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transpuner</w:t>
            </w:r>
            <w:r w:rsidR="006E0A2E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ea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actelor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juridice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ale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C53A1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UE</w:t>
            </w:r>
            <w:r w:rsidR="00825DC9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legislația națională</w:t>
            </w:r>
          </w:p>
          <w:p w14:paraId="5EC5689E" w14:textId="421A3BA2" w:rsidR="008B4BE6" w:rsidRPr="00861EE9" w:rsidRDefault="00976847" w:rsidP="007C53A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 este aplicabil. </w:t>
            </w:r>
          </w:p>
        </w:tc>
      </w:tr>
      <w:tr w:rsidR="003946CD" w:rsidRPr="00861EE9" w14:paraId="1541F0C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780E" w14:textId="77777777" w:rsidR="003C3DB4" w:rsidRPr="00861EE9" w:rsidRDefault="006933C3" w:rsidP="007C53A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5.2.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Măsuri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normative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care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urmăresc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crearea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cadrului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juridic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intern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necesar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E0A2E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implement</w:t>
            </w:r>
            <w:r w:rsidR="006E0A2E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area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legisla</w:t>
            </w:r>
            <w:r w:rsidR="00863417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>iei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C53A1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UE</w:t>
            </w:r>
          </w:p>
          <w:p w14:paraId="246D6ED7" w14:textId="036E9A09" w:rsidR="00976847" w:rsidRPr="00861EE9" w:rsidRDefault="00976847" w:rsidP="007C53A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 este aplicabil.</w:t>
            </w:r>
          </w:p>
        </w:tc>
      </w:tr>
      <w:tr w:rsidR="003946CD" w:rsidRPr="00861EE9" w14:paraId="531AA3A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20BA5A61" w:rsidR="008B4BE6" w:rsidRPr="00861EE9" w:rsidRDefault="00032B46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3946CD" w:rsidRPr="00861EE9" w14:paraId="338B3440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8B4BE6" w:rsidRPr="00861EE9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6.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Avizarea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consultarea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publică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3946CD" w:rsidRPr="00861EE9" w14:paraId="4E687F27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FADD" w14:textId="419A6148" w:rsidR="00B336C0" w:rsidRPr="00861EE9" w:rsidRDefault="001D55C5" w:rsidP="00B336C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Pentru respectarea transparenței în procesul decizional precum și în procesul de elaborare/modificare a actelor normative </w:t>
            </w:r>
            <w:r w:rsidR="00F544A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conformitate cu Legea nr. 239/2008 privind transparența în procesul decizional </w:t>
            </w:r>
            <w:r w:rsidR="0074569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="00F544A2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Legea nr. 100/20</w:t>
            </w:r>
            <w:r w:rsidR="00A648CB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17 privind actele normative</w:t>
            </w:r>
            <w:r w:rsidR="001820A3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n</w:t>
            </w:r>
            <w:r w:rsidR="00F544A2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ot</w:t>
            </w: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</w:t>
            </w:r>
            <w:r w:rsidR="00F544A2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fundamentare și proiectul de hotărâre </w:t>
            </w:r>
            <w:r w:rsidR="004B457D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cu privire la </w:t>
            </w:r>
            <w:r w:rsidR="001820A3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modificarea </w:t>
            </w:r>
            <w:r w:rsidR="004B457D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Metodologi</w:t>
            </w:r>
            <w:r w:rsidR="001820A3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ei</w:t>
            </w:r>
            <w:r w:rsidR="004B457D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calculare, aprobare și aplicare a </w:t>
            </w:r>
            <w:r w:rsidR="00FD3B36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tarifelor </w:t>
            </w:r>
            <w:r w:rsidR="004B457D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reglementate pentru </w:t>
            </w:r>
            <w:r w:rsidR="00FD3B36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serviciul de </w:t>
            </w:r>
            <w:r w:rsidR="00B336C0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distribuție</w:t>
            </w:r>
            <w:r w:rsidR="00FD3B36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al </w:t>
            </w:r>
            <w:r w:rsidR="009B27B9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energi</w:t>
            </w:r>
            <w:r w:rsidR="00FD3B36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ei</w:t>
            </w:r>
            <w:r w:rsidR="009B27B9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electric</w:t>
            </w:r>
            <w:r w:rsidR="00FD3B36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</w:t>
            </w:r>
            <w:r w:rsidR="009B27B9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1820A3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8E7245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urmează a fi</w:t>
            </w:r>
            <w:r w:rsidR="001820A3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expus</w:t>
            </w: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consultărilor publice prin plasarea pe pagina web oficială a Agenției</w:t>
            </w:r>
            <w:r w:rsidR="001820A3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la compartimentul </w:t>
            </w:r>
            <w:r w:rsidR="001820A3" w:rsidRPr="00861EE9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(Transparența Decizională/Proiecte supuse consultărilor publice)</w:t>
            </w: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 concomitent</w:t>
            </w:r>
            <w:r w:rsidR="008E7245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urmând a</w:t>
            </w: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0E1A6D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fi</w:t>
            </w:r>
            <w:r w:rsidR="008E7245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solicita</w:t>
            </w:r>
            <w:r w:rsidR="000E1A6D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</w:t>
            </w: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avizel</w:t>
            </w:r>
            <w:r w:rsidR="000E1A6D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</w:t>
            </w: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la entitățile afectate de modificarea respectivă și alte părți interesate. </w:t>
            </w:r>
          </w:p>
          <w:p w14:paraId="7E6045F3" w14:textId="53DD9911" w:rsidR="008B4BE6" w:rsidRPr="00861EE9" w:rsidRDefault="00D46247" w:rsidP="00B336C0">
            <w:pPr>
              <w:ind w:firstLine="573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Toate propunerile recepționate </w:t>
            </w:r>
            <w:r w:rsidR="00B336C0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vor fi </w:t>
            </w: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incluse</w:t>
            </w:r>
            <w:r w:rsidR="00B336C0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în</w:t>
            </w: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sinteza obiecțiilor și propunerilor/recomandărilor</w:t>
            </w:r>
            <w:r w:rsidRPr="00861EE9" w:rsidDel="00D4624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elaborată de Agenție și plasată pe pagina web oficială la compartimentul aferent.</w:t>
            </w:r>
          </w:p>
        </w:tc>
      </w:tr>
      <w:tr w:rsidR="003946CD" w:rsidRPr="00861EE9" w14:paraId="2C469418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258CF" w:rsidRPr="00861EE9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7.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A95A2D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oncluziile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expertizelor</w:t>
            </w:r>
          </w:p>
        </w:tc>
      </w:tr>
      <w:tr w:rsidR="003946CD" w:rsidRPr="00861EE9" w14:paraId="26F8D43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5D25" w14:textId="5A92E231" w:rsidR="00D742EF" w:rsidRPr="00861EE9" w:rsidRDefault="00032B46" w:rsidP="00B336C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B336C0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Urmează </w:t>
            </w:r>
            <w:r w:rsidR="008E7245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 fi </w:t>
            </w:r>
            <w:r w:rsidR="00B336C0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completat</w:t>
            </w:r>
            <w:r w:rsidR="008E7245"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2AAC16F1" w14:textId="4A033499" w:rsidR="00A867D5" w:rsidRPr="00861EE9" w:rsidRDefault="00D742EF" w:rsidP="00ED5AF5">
            <w:pPr>
              <w:tabs>
                <w:tab w:val="left" w:pos="675"/>
                <w:tab w:val="left" w:pos="825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             </w:t>
            </w:r>
          </w:p>
        </w:tc>
      </w:tr>
      <w:tr w:rsidR="003946CD" w:rsidRPr="00861EE9" w14:paraId="723ACED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623361" w:rsidRPr="00861EE9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8.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Modul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încorporare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cadrul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7C53A1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existent</w:t>
            </w:r>
          </w:p>
        </w:tc>
      </w:tr>
      <w:tr w:rsidR="003946CD" w:rsidRPr="00861EE9" w14:paraId="627B30F2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5D8C9D7C" w:rsidR="008B4BE6" w:rsidRPr="00861EE9" w:rsidRDefault="004E1A88" w:rsidP="002E6FC8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</w:t>
            </w:r>
            <w:r w:rsidR="00032B46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72C38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a implementa prevederile proiectului de hotărâre cu privire la </w:t>
            </w:r>
            <w:r w:rsidR="00DC2114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aprobarea </w:t>
            </w:r>
            <w:r w:rsidR="00315D9E"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proiectului de modificare a </w:t>
            </w:r>
            <w:r w:rsidR="00DC2114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Metodologiei nu este necesitatea de a modifica careva acte normative</w:t>
            </w:r>
            <w:r w:rsidR="00672C38" w:rsidRPr="00861EE9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672C38" w:rsidRPr="00861EE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3946CD" w:rsidRPr="00861EE9" w14:paraId="5FD6247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8B4BE6" w:rsidRPr="00861EE9" w:rsidRDefault="006933C3" w:rsidP="00F37ED4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9.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Măsuri</w:t>
            </w:r>
            <w:r w:rsidR="0036135C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necesare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pentru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implementarea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prevederilor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61E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4060DA" w:rsidRPr="00861EE9" w14:paraId="494CA73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1BE7" w14:textId="0587D147" w:rsidR="00B336C0" w:rsidRPr="00861EE9" w:rsidRDefault="00B336C0" w:rsidP="00B336C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Odată cu intrarea în vigoare a hotărârii cu privire la modificarea metodologiei, toți operatorii sistemelor de distribuție urmează să implementeze prevederile Metodologiei de calculare, aprobare și aplicare a tarifelor reglementate pentru serviciul de distribuție a energiei electrice și să solicite aprobarea acestora în conformitate cu exigențele impuse. </w:t>
            </w:r>
          </w:p>
          <w:p w14:paraId="2D8264A8" w14:textId="77777777" w:rsidR="00B336C0" w:rsidRPr="00861EE9" w:rsidRDefault="00B336C0" w:rsidP="00B336C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1E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rândul său ANRE în calitate de autoritate de reglementare urmează să aplice aceleași prevederi în procesul de examinare a solicitării de aprobare și/sau ajustare a tarifelor reglementate pentru distribuția energiei electrice. </w:t>
            </w:r>
          </w:p>
          <w:p w14:paraId="35423DE1" w14:textId="20EB1657" w:rsidR="008B4BE6" w:rsidRPr="00861EE9" w:rsidRDefault="008B4BE6" w:rsidP="00B336C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D5B03DF" w14:textId="1CFBBF2E" w:rsidR="001E3F80" w:rsidRPr="00861EE9" w:rsidRDefault="001E3F80" w:rsidP="006D02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  <w:lang w:val="ro-RO"/>
        </w:rPr>
      </w:pPr>
    </w:p>
    <w:p w14:paraId="00E205E8" w14:textId="77777777" w:rsidR="00BC4DB7" w:rsidRPr="00861EE9" w:rsidRDefault="00BC4DB7" w:rsidP="006D02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  <w:lang w:val="ro-RO"/>
        </w:rPr>
      </w:pPr>
    </w:p>
    <w:p w14:paraId="28A5716C" w14:textId="6DFCF2A1" w:rsidR="00BC4DB7" w:rsidRPr="00861EE9" w:rsidRDefault="00BC4DB7" w:rsidP="006D02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  <w:lang w:val="ro-RO"/>
        </w:rPr>
      </w:pPr>
    </w:p>
    <w:sectPr w:rsidR="00BC4DB7" w:rsidRPr="00861EE9" w:rsidSect="006D022E">
      <w:headerReference w:type="default" r:id="rId11"/>
      <w:headerReference w:type="first" r:id="rId12"/>
      <w:pgSz w:w="11907" w:h="16840"/>
      <w:pgMar w:top="709" w:right="567" w:bottom="426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11B23" w14:textId="77777777" w:rsidR="002C7502" w:rsidRDefault="002C7502">
      <w:r>
        <w:separator/>
      </w:r>
    </w:p>
  </w:endnote>
  <w:endnote w:type="continuationSeparator" w:id="0">
    <w:p w14:paraId="7AB5AD1F" w14:textId="77777777" w:rsidR="002C7502" w:rsidRDefault="002C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0382B" w14:textId="77777777" w:rsidR="002C7502" w:rsidRDefault="002C7502">
      <w:r>
        <w:separator/>
      </w:r>
    </w:p>
  </w:footnote>
  <w:footnote w:type="continuationSeparator" w:id="0">
    <w:p w14:paraId="23970A4F" w14:textId="77777777" w:rsidR="002C7502" w:rsidRDefault="002C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F8427" w14:textId="5ED4AFB3" w:rsidR="00D07A16" w:rsidRPr="00F37ED4" w:rsidRDefault="00D07A16" w:rsidP="009D4C0F">
    <w:pPr>
      <w:pStyle w:val="af6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A24B1" w14:textId="77777777" w:rsidR="00D07A16" w:rsidRPr="00032B46" w:rsidRDefault="00D07A16">
    <w:pPr>
      <w:pStyle w:val="af6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142"/>
    <w:multiLevelType w:val="hybridMultilevel"/>
    <w:tmpl w:val="F99695AC"/>
    <w:lvl w:ilvl="0" w:tplc="DE32DC88">
      <w:start w:val="1"/>
      <w:numFmt w:val="decimal"/>
      <w:lvlText w:val="%1."/>
      <w:lvlJc w:val="left"/>
      <w:pPr>
        <w:ind w:left="94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12200B79"/>
    <w:multiLevelType w:val="hybridMultilevel"/>
    <w:tmpl w:val="A3AC712E"/>
    <w:lvl w:ilvl="0" w:tplc="0409000F">
      <w:start w:val="1"/>
      <w:numFmt w:val="decimal"/>
      <w:lvlText w:val="%1."/>
      <w:lvlJc w:val="left"/>
      <w:pPr>
        <w:ind w:left="1371" w:hanging="360"/>
      </w:pPr>
    </w:lvl>
    <w:lvl w:ilvl="1" w:tplc="04090019" w:tentative="1">
      <w:start w:val="1"/>
      <w:numFmt w:val="lowerLetter"/>
      <w:lvlText w:val="%2."/>
      <w:lvlJc w:val="left"/>
      <w:pPr>
        <w:ind w:left="2091" w:hanging="360"/>
      </w:pPr>
    </w:lvl>
    <w:lvl w:ilvl="2" w:tplc="0409001B" w:tentative="1">
      <w:start w:val="1"/>
      <w:numFmt w:val="lowerRoman"/>
      <w:lvlText w:val="%3."/>
      <w:lvlJc w:val="right"/>
      <w:pPr>
        <w:ind w:left="2811" w:hanging="180"/>
      </w:pPr>
    </w:lvl>
    <w:lvl w:ilvl="3" w:tplc="0409000F" w:tentative="1">
      <w:start w:val="1"/>
      <w:numFmt w:val="decimal"/>
      <w:lvlText w:val="%4."/>
      <w:lvlJc w:val="left"/>
      <w:pPr>
        <w:ind w:left="3531" w:hanging="360"/>
      </w:pPr>
    </w:lvl>
    <w:lvl w:ilvl="4" w:tplc="04090019" w:tentative="1">
      <w:start w:val="1"/>
      <w:numFmt w:val="lowerLetter"/>
      <w:lvlText w:val="%5."/>
      <w:lvlJc w:val="left"/>
      <w:pPr>
        <w:ind w:left="4251" w:hanging="360"/>
      </w:pPr>
    </w:lvl>
    <w:lvl w:ilvl="5" w:tplc="0409001B" w:tentative="1">
      <w:start w:val="1"/>
      <w:numFmt w:val="lowerRoman"/>
      <w:lvlText w:val="%6."/>
      <w:lvlJc w:val="right"/>
      <w:pPr>
        <w:ind w:left="4971" w:hanging="180"/>
      </w:pPr>
    </w:lvl>
    <w:lvl w:ilvl="6" w:tplc="0409000F" w:tentative="1">
      <w:start w:val="1"/>
      <w:numFmt w:val="decimal"/>
      <w:lvlText w:val="%7."/>
      <w:lvlJc w:val="left"/>
      <w:pPr>
        <w:ind w:left="5691" w:hanging="360"/>
      </w:pPr>
    </w:lvl>
    <w:lvl w:ilvl="7" w:tplc="04090019" w:tentative="1">
      <w:start w:val="1"/>
      <w:numFmt w:val="lowerLetter"/>
      <w:lvlText w:val="%8."/>
      <w:lvlJc w:val="left"/>
      <w:pPr>
        <w:ind w:left="6411" w:hanging="360"/>
      </w:pPr>
    </w:lvl>
    <w:lvl w:ilvl="8" w:tplc="040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2" w15:restartNumberingAfterBreak="0">
    <w:nsid w:val="1D9648D1"/>
    <w:multiLevelType w:val="hybridMultilevel"/>
    <w:tmpl w:val="590EE400"/>
    <w:lvl w:ilvl="0" w:tplc="0419000F">
      <w:start w:val="1"/>
      <w:numFmt w:val="decimal"/>
      <w:lvlText w:val="%1."/>
      <w:lvlJc w:val="left"/>
      <w:pPr>
        <w:ind w:left="1489" w:hanging="360"/>
      </w:p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1E597A4B"/>
    <w:multiLevelType w:val="hybridMultilevel"/>
    <w:tmpl w:val="A2F0772E"/>
    <w:lvl w:ilvl="0" w:tplc="FE7ED284">
      <w:numFmt w:val="bullet"/>
      <w:lvlText w:val="–"/>
      <w:lvlJc w:val="left"/>
      <w:pPr>
        <w:ind w:left="148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4" w15:restartNumberingAfterBreak="0">
    <w:nsid w:val="1E864427"/>
    <w:multiLevelType w:val="hybridMultilevel"/>
    <w:tmpl w:val="FC7E02A4"/>
    <w:lvl w:ilvl="0" w:tplc="55029030">
      <w:start w:val="1"/>
      <w:numFmt w:val="decimal"/>
      <w:lvlText w:val="%1)"/>
      <w:lvlJc w:val="left"/>
      <w:pPr>
        <w:ind w:left="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5" w15:restartNumberingAfterBreak="0">
    <w:nsid w:val="1EE03DB0"/>
    <w:multiLevelType w:val="hybridMultilevel"/>
    <w:tmpl w:val="BAE46B48"/>
    <w:lvl w:ilvl="0" w:tplc="40BCC6DE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6" w15:restartNumberingAfterBreak="0">
    <w:nsid w:val="26C8113F"/>
    <w:multiLevelType w:val="hybridMultilevel"/>
    <w:tmpl w:val="947CD6F6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7" w15:restartNumberingAfterBreak="0">
    <w:nsid w:val="27F7795D"/>
    <w:multiLevelType w:val="hybridMultilevel"/>
    <w:tmpl w:val="84E00986"/>
    <w:lvl w:ilvl="0" w:tplc="0409000F">
      <w:start w:val="1"/>
      <w:numFmt w:val="decimal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295612EA"/>
    <w:multiLevelType w:val="hybridMultilevel"/>
    <w:tmpl w:val="B3E03916"/>
    <w:lvl w:ilvl="0" w:tplc="0D14FE6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78663D"/>
    <w:multiLevelType w:val="hybridMultilevel"/>
    <w:tmpl w:val="74964284"/>
    <w:lvl w:ilvl="0" w:tplc="0D14F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7F075B"/>
    <w:multiLevelType w:val="hybridMultilevel"/>
    <w:tmpl w:val="40CAE8BC"/>
    <w:lvl w:ilvl="0" w:tplc="321E35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31B5308"/>
    <w:multiLevelType w:val="hybridMultilevel"/>
    <w:tmpl w:val="9DEE2A3E"/>
    <w:lvl w:ilvl="0" w:tplc="C48E2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035257"/>
    <w:multiLevelType w:val="hybridMultilevel"/>
    <w:tmpl w:val="3182B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1C7DE0"/>
    <w:multiLevelType w:val="hybridMultilevel"/>
    <w:tmpl w:val="B0A2A374"/>
    <w:lvl w:ilvl="0" w:tplc="0409000D">
      <w:start w:val="1"/>
      <w:numFmt w:val="bullet"/>
      <w:lvlText w:val=""/>
      <w:lvlJc w:val="left"/>
      <w:pPr>
        <w:ind w:left="18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14" w15:restartNumberingAfterBreak="0">
    <w:nsid w:val="3FBA76BC"/>
    <w:multiLevelType w:val="hybridMultilevel"/>
    <w:tmpl w:val="A30EE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150F6"/>
    <w:multiLevelType w:val="hybridMultilevel"/>
    <w:tmpl w:val="6A90AC2E"/>
    <w:lvl w:ilvl="0" w:tplc="0409000D">
      <w:start w:val="1"/>
      <w:numFmt w:val="bullet"/>
      <w:lvlText w:val=""/>
      <w:lvlJc w:val="left"/>
      <w:pPr>
        <w:ind w:left="13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6" w15:restartNumberingAfterBreak="0">
    <w:nsid w:val="40623E17"/>
    <w:multiLevelType w:val="hybridMultilevel"/>
    <w:tmpl w:val="0EC057B8"/>
    <w:lvl w:ilvl="0" w:tplc="9E3CD55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422835BD"/>
    <w:multiLevelType w:val="hybridMultilevel"/>
    <w:tmpl w:val="A894E43C"/>
    <w:lvl w:ilvl="0" w:tplc="0D14FE60">
      <w:start w:val="1"/>
      <w:numFmt w:val="decimal"/>
      <w:lvlText w:val="%1."/>
      <w:lvlJc w:val="left"/>
      <w:pPr>
        <w:ind w:left="1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 w15:restartNumberingAfterBreak="0">
    <w:nsid w:val="44BD4BAF"/>
    <w:multiLevelType w:val="hybridMultilevel"/>
    <w:tmpl w:val="76B2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20" w15:restartNumberingAfterBreak="0">
    <w:nsid w:val="6D7A2488"/>
    <w:multiLevelType w:val="hybridMultilevel"/>
    <w:tmpl w:val="615EE5B6"/>
    <w:lvl w:ilvl="0" w:tplc="0409000F">
      <w:start w:val="1"/>
      <w:numFmt w:val="decimal"/>
      <w:lvlText w:val="%1."/>
      <w:lvlJc w:val="left"/>
      <w:pPr>
        <w:ind w:left="1489" w:hanging="360"/>
      </w:p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1" w15:restartNumberingAfterBreak="0">
    <w:nsid w:val="74D57057"/>
    <w:multiLevelType w:val="hybridMultilevel"/>
    <w:tmpl w:val="06647458"/>
    <w:lvl w:ilvl="0" w:tplc="26AC1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6558B2"/>
    <w:multiLevelType w:val="hybridMultilevel"/>
    <w:tmpl w:val="DBCCC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AF5ACD"/>
    <w:multiLevelType w:val="hybridMultilevel"/>
    <w:tmpl w:val="8D72B91C"/>
    <w:lvl w:ilvl="0" w:tplc="0409000F">
      <w:start w:val="1"/>
      <w:numFmt w:val="decimal"/>
      <w:lvlText w:val="%1."/>
      <w:lvlJc w:val="left"/>
      <w:pPr>
        <w:ind w:left="1027" w:hanging="360"/>
      </w:p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8"/>
  </w:num>
  <w:num w:numId="5">
    <w:abstractNumId w:val="17"/>
  </w:num>
  <w:num w:numId="6">
    <w:abstractNumId w:val="2"/>
  </w:num>
  <w:num w:numId="7">
    <w:abstractNumId w:val="12"/>
  </w:num>
  <w:num w:numId="8">
    <w:abstractNumId w:val="0"/>
  </w:num>
  <w:num w:numId="9">
    <w:abstractNumId w:val="20"/>
  </w:num>
  <w:num w:numId="10">
    <w:abstractNumId w:val="1"/>
  </w:num>
  <w:num w:numId="11">
    <w:abstractNumId w:val="23"/>
  </w:num>
  <w:num w:numId="12">
    <w:abstractNumId w:val="7"/>
  </w:num>
  <w:num w:numId="13">
    <w:abstractNumId w:val="18"/>
  </w:num>
  <w:num w:numId="14">
    <w:abstractNumId w:val="16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1"/>
  </w:num>
  <w:num w:numId="22">
    <w:abstractNumId w:val="21"/>
  </w:num>
  <w:num w:numId="23">
    <w:abstractNumId w:val="22"/>
  </w:num>
  <w:num w:numId="2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E6"/>
    <w:rsid w:val="00000A11"/>
    <w:rsid w:val="00000DD2"/>
    <w:rsid w:val="00012DD1"/>
    <w:rsid w:val="00013460"/>
    <w:rsid w:val="00013804"/>
    <w:rsid w:val="00013AC9"/>
    <w:rsid w:val="0001747F"/>
    <w:rsid w:val="00017B46"/>
    <w:rsid w:val="00021DF5"/>
    <w:rsid w:val="0002435C"/>
    <w:rsid w:val="00027BB7"/>
    <w:rsid w:val="00032B46"/>
    <w:rsid w:val="00033744"/>
    <w:rsid w:val="0004049D"/>
    <w:rsid w:val="0004289C"/>
    <w:rsid w:val="00043AC7"/>
    <w:rsid w:val="00044D19"/>
    <w:rsid w:val="00046D10"/>
    <w:rsid w:val="00051A9B"/>
    <w:rsid w:val="00052045"/>
    <w:rsid w:val="00054810"/>
    <w:rsid w:val="00055376"/>
    <w:rsid w:val="000563FF"/>
    <w:rsid w:val="00060A1D"/>
    <w:rsid w:val="00060C9D"/>
    <w:rsid w:val="00066CEC"/>
    <w:rsid w:val="000713DA"/>
    <w:rsid w:val="00071EAA"/>
    <w:rsid w:val="0007236F"/>
    <w:rsid w:val="000742DA"/>
    <w:rsid w:val="00075A5F"/>
    <w:rsid w:val="00077C26"/>
    <w:rsid w:val="00081267"/>
    <w:rsid w:val="0008305D"/>
    <w:rsid w:val="000849BE"/>
    <w:rsid w:val="00085029"/>
    <w:rsid w:val="00094312"/>
    <w:rsid w:val="000A2A66"/>
    <w:rsid w:val="000A6888"/>
    <w:rsid w:val="000A6BA5"/>
    <w:rsid w:val="000B338B"/>
    <w:rsid w:val="000B3D87"/>
    <w:rsid w:val="000B50EE"/>
    <w:rsid w:val="000B7035"/>
    <w:rsid w:val="000B737F"/>
    <w:rsid w:val="000B7919"/>
    <w:rsid w:val="000B7B3C"/>
    <w:rsid w:val="000C041B"/>
    <w:rsid w:val="000C070C"/>
    <w:rsid w:val="000C0868"/>
    <w:rsid w:val="000C2AB4"/>
    <w:rsid w:val="000D102D"/>
    <w:rsid w:val="000D3662"/>
    <w:rsid w:val="000D591E"/>
    <w:rsid w:val="000D5C74"/>
    <w:rsid w:val="000E0066"/>
    <w:rsid w:val="000E0646"/>
    <w:rsid w:val="000E1A6D"/>
    <w:rsid w:val="000E1D40"/>
    <w:rsid w:val="000E2800"/>
    <w:rsid w:val="000E7D2D"/>
    <w:rsid w:val="000F0E49"/>
    <w:rsid w:val="000F141B"/>
    <w:rsid w:val="000F497A"/>
    <w:rsid w:val="000F6615"/>
    <w:rsid w:val="00102AD8"/>
    <w:rsid w:val="00112179"/>
    <w:rsid w:val="00113956"/>
    <w:rsid w:val="001157ED"/>
    <w:rsid w:val="00116035"/>
    <w:rsid w:val="00120AAD"/>
    <w:rsid w:val="001211EA"/>
    <w:rsid w:val="00126E53"/>
    <w:rsid w:val="00132CC3"/>
    <w:rsid w:val="00134DE4"/>
    <w:rsid w:val="001350B3"/>
    <w:rsid w:val="00137F6F"/>
    <w:rsid w:val="00137FF9"/>
    <w:rsid w:val="00142174"/>
    <w:rsid w:val="0014231F"/>
    <w:rsid w:val="00143389"/>
    <w:rsid w:val="00143CC4"/>
    <w:rsid w:val="00144622"/>
    <w:rsid w:val="00150D8D"/>
    <w:rsid w:val="0015146D"/>
    <w:rsid w:val="00157D40"/>
    <w:rsid w:val="001627B5"/>
    <w:rsid w:val="00162B56"/>
    <w:rsid w:val="00162BE7"/>
    <w:rsid w:val="00163368"/>
    <w:rsid w:val="00167AA7"/>
    <w:rsid w:val="0017006C"/>
    <w:rsid w:val="001703AD"/>
    <w:rsid w:val="001717A9"/>
    <w:rsid w:val="00174E20"/>
    <w:rsid w:val="001820A3"/>
    <w:rsid w:val="0018239E"/>
    <w:rsid w:val="00184334"/>
    <w:rsid w:val="00185AC8"/>
    <w:rsid w:val="00190167"/>
    <w:rsid w:val="00191428"/>
    <w:rsid w:val="0019436F"/>
    <w:rsid w:val="001967ED"/>
    <w:rsid w:val="001A25C3"/>
    <w:rsid w:val="001A37C7"/>
    <w:rsid w:val="001A415C"/>
    <w:rsid w:val="001A5937"/>
    <w:rsid w:val="001A7887"/>
    <w:rsid w:val="001A7BE8"/>
    <w:rsid w:val="001B16D6"/>
    <w:rsid w:val="001B380F"/>
    <w:rsid w:val="001B3BE4"/>
    <w:rsid w:val="001B5818"/>
    <w:rsid w:val="001B66A4"/>
    <w:rsid w:val="001B6E6E"/>
    <w:rsid w:val="001C364A"/>
    <w:rsid w:val="001C3F21"/>
    <w:rsid w:val="001C4EEE"/>
    <w:rsid w:val="001C61D2"/>
    <w:rsid w:val="001D2FA2"/>
    <w:rsid w:val="001D486A"/>
    <w:rsid w:val="001D4CFA"/>
    <w:rsid w:val="001D550D"/>
    <w:rsid w:val="001D55C5"/>
    <w:rsid w:val="001E36EE"/>
    <w:rsid w:val="001E3F80"/>
    <w:rsid w:val="001E4497"/>
    <w:rsid w:val="001F0570"/>
    <w:rsid w:val="001F2097"/>
    <w:rsid w:val="001F3748"/>
    <w:rsid w:val="001F3C79"/>
    <w:rsid w:val="001F5772"/>
    <w:rsid w:val="001F61E7"/>
    <w:rsid w:val="002000EB"/>
    <w:rsid w:val="00200223"/>
    <w:rsid w:val="00200442"/>
    <w:rsid w:val="00200516"/>
    <w:rsid w:val="00202015"/>
    <w:rsid w:val="00205100"/>
    <w:rsid w:val="0020794F"/>
    <w:rsid w:val="00215C5C"/>
    <w:rsid w:val="002164C9"/>
    <w:rsid w:val="002170A5"/>
    <w:rsid w:val="00230761"/>
    <w:rsid w:val="00235A6A"/>
    <w:rsid w:val="00235AB3"/>
    <w:rsid w:val="00235AF1"/>
    <w:rsid w:val="00236B0E"/>
    <w:rsid w:val="00236E65"/>
    <w:rsid w:val="002372B8"/>
    <w:rsid w:val="00240AC0"/>
    <w:rsid w:val="00244C76"/>
    <w:rsid w:val="002453BD"/>
    <w:rsid w:val="002511B2"/>
    <w:rsid w:val="00257353"/>
    <w:rsid w:val="002621EA"/>
    <w:rsid w:val="00264B07"/>
    <w:rsid w:val="002668D5"/>
    <w:rsid w:val="00271449"/>
    <w:rsid w:val="002721D2"/>
    <w:rsid w:val="00273D89"/>
    <w:rsid w:val="0027425A"/>
    <w:rsid w:val="0028093A"/>
    <w:rsid w:val="00281C80"/>
    <w:rsid w:val="00284ACC"/>
    <w:rsid w:val="002870E8"/>
    <w:rsid w:val="00287C7B"/>
    <w:rsid w:val="002950E0"/>
    <w:rsid w:val="002954C4"/>
    <w:rsid w:val="002A17C1"/>
    <w:rsid w:val="002B07BD"/>
    <w:rsid w:val="002B5444"/>
    <w:rsid w:val="002B547F"/>
    <w:rsid w:val="002C009B"/>
    <w:rsid w:val="002C21E9"/>
    <w:rsid w:val="002C4DEC"/>
    <w:rsid w:val="002C55AD"/>
    <w:rsid w:val="002C7502"/>
    <w:rsid w:val="002D1BE7"/>
    <w:rsid w:val="002D247A"/>
    <w:rsid w:val="002D38C5"/>
    <w:rsid w:val="002E151F"/>
    <w:rsid w:val="002E4217"/>
    <w:rsid w:val="002E505B"/>
    <w:rsid w:val="002E6FC8"/>
    <w:rsid w:val="002F30F7"/>
    <w:rsid w:val="002F3DAA"/>
    <w:rsid w:val="002F4D6B"/>
    <w:rsid w:val="002F5F1E"/>
    <w:rsid w:val="002F7FB5"/>
    <w:rsid w:val="00301D7D"/>
    <w:rsid w:val="00302BC8"/>
    <w:rsid w:val="00310F97"/>
    <w:rsid w:val="00311D4E"/>
    <w:rsid w:val="003149D4"/>
    <w:rsid w:val="0031555D"/>
    <w:rsid w:val="00315655"/>
    <w:rsid w:val="00315B32"/>
    <w:rsid w:val="00315BDC"/>
    <w:rsid w:val="00315D9E"/>
    <w:rsid w:val="003171CA"/>
    <w:rsid w:val="00320457"/>
    <w:rsid w:val="00324559"/>
    <w:rsid w:val="00325C87"/>
    <w:rsid w:val="00327C88"/>
    <w:rsid w:val="00334C0F"/>
    <w:rsid w:val="003358FF"/>
    <w:rsid w:val="00336906"/>
    <w:rsid w:val="00341CFF"/>
    <w:rsid w:val="003459C0"/>
    <w:rsid w:val="00347B79"/>
    <w:rsid w:val="003509A8"/>
    <w:rsid w:val="0035146D"/>
    <w:rsid w:val="00354545"/>
    <w:rsid w:val="00354FE5"/>
    <w:rsid w:val="00356B58"/>
    <w:rsid w:val="00357B8B"/>
    <w:rsid w:val="0036135C"/>
    <w:rsid w:val="0036280D"/>
    <w:rsid w:val="00362D0C"/>
    <w:rsid w:val="0036518F"/>
    <w:rsid w:val="00367345"/>
    <w:rsid w:val="0036768D"/>
    <w:rsid w:val="00367EEC"/>
    <w:rsid w:val="00370B93"/>
    <w:rsid w:val="00374362"/>
    <w:rsid w:val="00377B12"/>
    <w:rsid w:val="00380147"/>
    <w:rsid w:val="00381C7D"/>
    <w:rsid w:val="00385C9B"/>
    <w:rsid w:val="00386C34"/>
    <w:rsid w:val="00386D47"/>
    <w:rsid w:val="003872BA"/>
    <w:rsid w:val="00387D77"/>
    <w:rsid w:val="003922EF"/>
    <w:rsid w:val="00392F5D"/>
    <w:rsid w:val="003946CD"/>
    <w:rsid w:val="00394A57"/>
    <w:rsid w:val="00397415"/>
    <w:rsid w:val="003A22A0"/>
    <w:rsid w:val="003A2CB2"/>
    <w:rsid w:val="003A4D1C"/>
    <w:rsid w:val="003A5B99"/>
    <w:rsid w:val="003A6FFB"/>
    <w:rsid w:val="003A7860"/>
    <w:rsid w:val="003B257A"/>
    <w:rsid w:val="003B4341"/>
    <w:rsid w:val="003B7521"/>
    <w:rsid w:val="003C0C4D"/>
    <w:rsid w:val="003C11CC"/>
    <w:rsid w:val="003C1CD8"/>
    <w:rsid w:val="003C2D07"/>
    <w:rsid w:val="003C3DB4"/>
    <w:rsid w:val="003C3EB9"/>
    <w:rsid w:val="003C7D93"/>
    <w:rsid w:val="003D1F03"/>
    <w:rsid w:val="003D5E8B"/>
    <w:rsid w:val="003D62FC"/>
    <w:rsid w:val="003E17A1"/>
    <w:rsid w:val="003E3748"/>
    <w:rsid w:val="003E4DA7"/>
    <w:rsid w:val="003F0CB2"/>
    <w:rsid w:val="003F0CD8"/>
    <w:rsid w:val="003F6FFC"/>
    <w:rsid w:val="00402A87"/>
    <w:rsid w:val="00405019"/>
    <w:rsid w:val="004060DA"/>
    <w:rsid w:val="00406BA9"/>
    <w:rsid w:val="00407B5E"/>
    <w:rsid w:val="00410C9A"/>
    <w:rsid w:val="00413182"/>
    <w:rsid w:val="00421AB5"/>
    <w:rsid w:val="00424212"/>
    <w:rsid w:val="00424CF9"/>
    <w:rsid w:val="0042528F"/>
    <w:rsid w:val="004261F9"/>
    <w:rsid w:val="00427EFD"/>
    <w:rsid w:val="0043208D"/>
    <w:rsid w:val="004333B4"/>
    <w:rsid w:val="00434203"/>
    <w:rsid w:val="00445321"/>
    <w:rsid w:val="00451BAD"/>
    <w:rsid w:val="00452C3E"/>
    <w:rsid w:val="00452C6C"/>
    <w:rsid w:val="004530C5"/>
    <w:rsid w:val="0045451B"/>
    <w:rsid w:val="00454B4A"/>
    <w:rsid w:val="00455F95"/>
    <w:rsid w:val="00457B47"/>
    <w:rsid w:val="00462154"/>
    <w:rsid w:val="00464294"/>
    <w:rsid w:val="00466F6A"/>
    <w:rsid w:val="00470ABF"/>
    <w:rsid w:val="004715E7"/>
    <w:rsid w:val="00472A9A"/>
    <w:rsid w:val="004735CE"/>
    <w:rsid w:val="00474658"/>
    <w:rsid w:val="0047797E"/>
    <w:rsid w:val="00487F45"/>
    <w:rsid w:val="00492BD7"/>
    <w:rsid w:val="004961C2"/>
    <w:rsid w:val="00497F06"/>
    <w:rsid w:val="004A3757"/>
    <w:rsid w:val="004A5040"/>
    <w:rsid w:val="004B1283"/>
    <w:rsid w:val="004B2814"/>
    <w:rsid w:val="004B42DC"/>
    <w:rsid w:val="004B457D"/>
    <w:rsid w:val="004B5476"/>
    <w:rsid w:val="004C2DF7"/>
    <w:rsid w:val="004C4E86"/>
    <w:rsid w:val="004C6034"/>
    <w:rsid w:val="004D22AA"/>
    <w:rsid w:val="004D3941"/>
    <w:rsid w:val="004D602A"/>
    <w:rsid w:val="004D7AFE"/>
    <w:rsid w:val="004E1A88"/>
    <w:rsid w:val="004E2421"/>
    <w:rsid w:val="004E4034"/>
    <w:rsid w:val="004E6489"/>
    <w:rsid w:val="004E6662"/>
    <w:rsid w:val="004F568A"/>
    <w:rsid w:val="004F5D30"/>
    <w:rsid w:val="00501790"/>
    <w:rsid w:val="00501A40"/>
    <w:rsid w:val="005020EC"/>
    <w:rsid w:val="00502641"/>
    <w:rsid w:val="00507064"/>
    <w:rsid w:val="0050720D"/>
    <w:rsid w:val="005100FE"/>
    <w:rsid w:val="00510518"/>
    <w:rsid w:val="00513626"/>
    <w:rsid w:val="00514A41"/>
    <w:rsid w:val="00516555"/>
    <w:rsid w:val="00524CAE"/>
    <w:rsid w:val="005256CF"/>
    <w:rsid w:val="00527611"/>
    <w:rsid w:val="0053274E"/>
    <w:rsid w:val="00540F39"/>
    <w:rsid w:val="00542C43"/>
    <w:rsid w:val="00551299"/>
    <w:rsid w:val="005535FB"/>
    <w:rsid w:val="0055512D"/>
    <w:rsid w:val="00555DF5"/>
    <w:rsid w:val="00556B41"/>
    <w:rsid w:val="00572006"/>
    <w:rsid w:val="00573E74"/>
    <w:rsid w:val="00575BC5"/>
    <w:rsid w:val="0057790F"/>
    <w:rsid w:val="00577920"/>
    <w:rsid w:val="005805B7"/>
    <w:rsid w:val="00582470"/>
    <w:rsid w:val="005859AA"/>
    <w:rsid w:val="005910D7"/>
    <w:rsid w:val="00593E4D"/>
    <w:rsid w:val="00594DE5"/>
    <w:rsid w:val="005956E2"/>
    <w:rsid w:val="00595784"/>
    <w:rsid w:val="005A0D85"/>
    <w:rsid w:val="005A12D7"/>
    <w:rsid w:val="005A1347"/>
    <w:rsid w:val="005A29D6"/>
    <w:rsid w:val="005A4FA8"/>
    <w:rsid w:val="005B0C92"/>
    <w:rsid w:val="005B0DFC"/>
    <w:rsid w:val="005B26D2"/>
    <w:rsid w:val="005B7E20"/>
    <w:rsid w:val="005C1D42"/>
    <w:rsid w:val="005C412B"/>
    <w:rsid w:val="005C4835"/>
    <w:rsid w:val="005C5A53"/>
    <w:rsid w:val="005C7769"/>
    <w:rsid w:val="005D1D87"/>
    <w:rsid w:val="005D5943"/>
    <w:rsid w:val="005D5F1D"/>
    <w:rsid w:val="005E2225"/>
    <w:rsid w:val="005E37E8"/>
    <w:rsid w:val="005E5158"/>
    <w:rsid w:val="005E7398"/>
    <w:rsid w:val="005F0093"/>
    <w:rsid w:val="005F0EF8"/>
    <w:rsid w:val="005F0F53"/>
    <w:rsid w:val="005F30F0"/>
    <w:rsid w:val="005F584A"/>
    <w:rsid w:val="005F70C8"/>
    <w:rsid w:val="00600F71"/>
    <w:rsid w:val="00604065"/>
    <w:rsid w:val="00604A09"/>
    <w:rsid w:val="0060625D"/>
    <w:rsid w:val="00611BAA"/>
    <w:rsid w:val="00611FFB"/>
    <w:rsid w:val="00612D18"/>
    <w:rsid w:val="006149F1"/>
    <w:rsid w:val="00615BB7"/>
    <w:rsid w:val="00616A16"/>
    <w:rsid w:val="00616F84"/>
    <w:rsid w:val="00616FFE"/>
    <w:rsid w:val="00621954"/>
    <w:rsid w:val="00623361"/>
    <w:rsid w:val="00624BA9"/>
    <w:rsid w:val="0062575C"/>
    <w:rsid w:val="00626360"/>
    <w:rsid w:val="0063008A"/>
    <w:rsid w:val="00633026"/>
    <w:rsid w:val="006338D8"/>
    <w:rsid w:val="006339EB"/>
    <w:rsid w:val="00634BC2"/>
    <w:rsid w:val="00636E23"/>
    <w:rsid w:val="006429A8"/>
    <w:rsid w:val="006433E9"/>
    <w:rsid w:val="006506A5"/>
    <w:rsid w:val="00651AE9"/>
    <w:rsid w:val="00655436"/>
    <w:rsid w:val="006559E3"/>
    <w:rsid w:val="006561E6"/>
    <w:rsid w:val="00657577"/>
    <w:rsid w:val="006608B2"/>
    <w:rsid w:val="0066219D"/>
    <w:rsid w:val="006660B2"/>
    <w:rsid w:val="0067056E"/>
    <w:rsid w:val="006715F1"/>
    <w:rsid w:val="006722C1"/>
    <w:rsid w:val="00672C38"/>
    <w:rsid w:val="006739CA"/>
    <w:rsid w:val="006756F1"/>
    <w:rsid w:val="006821F1"/>
    <w:rsid w:val="0068226A"/>
    <w:rsid w:val="0068258E"/>
    <w:rsid w:val="006855AC"/>
    <w:rsid w:val="00687241"/>
    <w:rsid w:val="00691790"/>
    <w:rsid w:val="006933C3"/>
    <w:rsid w:val="00693DF8"/>
    <w:rsid w:val="006956E6"/>
    <w:rsid w:val="0069609A"/>
    <w:rsid w:val="00697045"/>
    <w:rsid w:val="006A27BD"/>
    <w:rsid w:val="006A2CFA"/>
    <w:rsid w:val="006A337B"/>
    <w:rsid w:val="006A4E08"/>
    <w:rsid w:val="006A57D6"/>
    <w:rsid w:val="006A58BC"/>
    <w:rsid w:val="006B4CDE"/>
    <w:rsid w:val="006B5E80"/>
    <w:rsid w:val="006C03AF"/>
    <w:rsid w:val="006C40C7"/>
    <w:rsid w:val="006D022E"/>
    <w:rsid w:val="006D301E"/>
    <w:rsid w:val="006D3EB7"/>
    <w:rsid w:val="006D5EA6"/>
    <w:rsid w:val="006D7B49"/>
    <w:rsid w:val="006E0A2E"/>
    <w:rsid w:val="006E1269"/>
    <w:rsid w:val="006E1EA1"/>
    <w:rsid w:val="006E248A"/>
    <w:rsid w:val="006E318F"/>
    <w:rsid w:val="006E5F9C"/>
    <w:rsid w:val="006E7D38"/>
    <w:rsid w:val="006F0870"/>
    <w:rsid w:val="006F1709"/>
    <w:rsid w:val="006F305D"/>
    <w:rsid w:val="006F39BB"/>
    <w:rsid w:val="006F43CA"/>
    <w:rsid w:val="006F5915"/>
    <w:rsid w:val="006F7EF4"/>
    <w:rsid w:val="0070182B"/>
    <w:rsid w:val="00701C03"/>
    <w:rsid w:val="007026DD"/>
    <w:rsid w:val="00702770"/>
    <w:rsid w:val="00703FCE"/>
    <w:rsid w:val="00704E4B"/>
    <w:rsid w:val="00707B68"/>
    <w:rsid w:val="00710873"/>
    <w:rsid w:val="00711BAA"/>
    <w:rsid w:val="007126C4"/>
    <w:rsid w:val="00721E30"/>
    <w:rsid w:val="00722FB5"/>
    <w:rsid w:val="007258CF"/>
    <w:rsid w:val="00726992"/>
    <w:rsid w:val="00736AD8"/>
    <w:rsid w:val="00737731"/>
    <w:rsid w:val="00740210"/>
    <w:rsid w:val="007411D5"/>
    <w:rsid w:val="00745692"/>
    <w:rsid w:val="0075472A"/>
    <w:rsid w:val="00756648"/>
    <w:rsid w:val="007610D5"/>
    <w:rsid w:val="00763827"/>
    <w:rsid w:val="007652AA"/>
    <w:rsid w:val="007665E4"/>
    <w:rsid w:val="00772282"/>
    <w:rsid w:val="007724CE"/>
    <w:rsid w:val="00772F5B"/>
    <w:rsid w:val="00776C86"/>
    <w:rsid w:val="00776D62"/>
    <w:rsid w:val="0078001D"/>
    <w:rsid w:val="007803CC"/>
    <w:rsid w:val="00780C21"/>
    <w:rsid w:val="007831E9"/>
    <w:rsid w:val="00784D77"/>
    <w:rsid w:val="007901CE"/>
    <w:rsid w:val="0079167D"/>
    <w:rsid w:val="0079643D"/>
    <w:rsid w:val="007A0931"/>
    <w:rsid w:val="007A4309"/>
    <w:rsid w:val="007A4A54"/>
    <w:rsid w:val="007A72D5"/>
    <w:rsid w:val="007B0B91"/>
    <w:rsid w:val="007B1CC2"/>
    <w:rsid w:val="007B5582"/>
    <w:rsid w:val="007B627D"/>
    <w:rsid w:val="007B6E7F"/>
    <w:rsid w:val="007C0C58"/>
    <w:rsid w:val="007C2629"/>
    <w:rsid w:val="007C43FD"/>
    <w:rsid w:val="007C4A5B"/>
    <w:rsid w:val="007C53A1"/>
    <w:rsid w:val="007C58BD"/>
    <w:rsid w:val="007C5D4B"/>
    <w:rsid w:val="007C631E"/>
    <w:rsid w:val="007D00B1"/>
    <w:rsid w:val="007D0E36"/>
    <w:rsid w:val="007D552E"/>
    <w:rsid w:val="007E3F69"/>
    <w:rsid w:val="007E7735"/>
    <w:rsid w:val="007F0FCE"/>
    <w:rsid w:val="007F1254"/>
    <w:rsid w:val="007F1374"/>
    <w:rsid w:val="007F26EB"/>
    <w:rsid w:val="007F3AB6"/>
    <w:rsid w:val="007F5DD9"/>
    <w:rsid w:val="007F6183"/>
    <w:rsid w:val="00800E62"/>
    <w:rsid w:val="00800EE1"/>
    <w:rsid w:val="0080392A"/>
    <w:rsid w:val="008051FF"/>
    <w:rsid w:val="00811CAE"/>
    <w:rsid w:val="00813AAF"/>
    <w:rsid w:val="00814333"/>
    <w:rsid w:val="00825DC9"/>
    <w:rsid w:val="00830FF9"/>
    <w:rsid w:val="00831DF3"/>
    <w:rsid w:val="008326E7"/>
    <w:rsid w:val="00834831"/>
    <w:rsid w:val="008411BA"/>
    <w:rsid w:val="0084241F"/>
    <w:rsid w:val="0084434E"/>
    <w:rsid w:val="008506B1"/>
    <w:rsid w:val="008510CC"/>
    <w:rsid w:val="00857827"/>
    <w:rsid w:val="00857F9D"/>
    <w:rsid w:val="00860C47"/>
    <w:rsid w:val="00861EE9"/>
    <w:rsid w:val="00863417"/>
    <w:rsid w:val="0086343C"/>
    <w:rsid w:val="008634D8"/>
    <w:rsid w:val="008637A4"/>
    <w:rsid w:val="00863D76"/>
    <w:rsid w:val="0086509B"/>
    <w:rsid w:val="008661E3"/>
    <w:rsid w:val="00871FE4"/>
    <w:rsid w:val="0087296A"/>
    <w:rsid w:val="00874221"/>
    <w:rsid w:val="00874D81"/>
    <w:rsid w:val="00876262"/>
    <w:rsid w:val="008765F3"/>
    <w:rsid w:val="008768EC"/>
    <w:rsid w:val="00877127"/>
    <w:rsid w:val="00877DDD"/>
    <w:rsid w:val="0088300A"/>
    <w:rsid w:val="00885AE3"/>
    <w:rsid w:val="00890697"/>
    <w:rsid w:val="00891049"/>
    <w:rsid w:val="00897403"/>
    <w:rsid w:val="008A40C0"/>
    <w:rsid w:val="008A4272"/>
    <w:rsid w:val="008A56C2"/>
    <w:rsid w:val="008A5923"/>
    <w:rsid w:val="008A6973"/>
    <w:rsid w:val="008B1120"/>
    <w:rsid w:val="008B1AA1"/>
    <w:rsid w:val="008B1BFF"/>
    <w:rsid w:val="008B443B"/>
    <w:rsid w:val="008B4BE6"/>
    <w:rsid w:val="008C180C"/>
    <w:rsid w:val="008C2DD5"/>
    <w:rsid w:val="008C5D33"/>
    <w:rsid w:val="008D77B7"/>
    <w:rsid w:val="008E013C"/>
    <w:rsid w:val="008E4248"/>
    <w:rsid w:val="008E4506"/>
    <w:rsid w:val="008E7245"/>
    <w:rsid w:val="008F12A1"/>
    <w:rsid w:val="008F3624"/>
    <w:rsid w:val="008F5A4E"/>
    <w:rsid w:val="008F718B"/>
    <w:rsid w:val="008F73D1"/>
    <w:rsid w:val="009002CA"/>
    <w:rsid w:val="00903AF9"/>
    <w:rsid w:val="00905108"/>
    <w:rsid w:val="0090579F"/>
    <w:rsid w:val="009143C9"/>
    <w:rsid w:val="0091540E"/>
    <w:rsid w:val="0091586B"/>
    <w:rsid w:val="00915A40"/>
    <w:rsid w:val="00917F09"/>
    <w:rsid w:val="009201C9"/>
    <w:rsid w:val="009260DB"/>
    <w:rsid w:val="009300D5"/>
    <w:rsid w:val="00930424"/>
    <w:rsid w:val="0093190D"/>
    <w:rsid w:val="009374A2"/>
    <w:rsid w:val="00942BCB"/>
    <w:rsid w:val="00942F03"/>
    <w:rsid w:val="00945200"/>
    <w:rsid w:val="00947085"/>
    <w:rsid w:val="0095157B"/>
    <w:rsid w:val="00952209"/>
    <w:rsid w:val="00953155"/>
    <w:rsid w:val="009543F1"/>
    <w:rsid w:val="009557CC"/>
    <w:rsid w:val="00957BD1"/>
    <w:rsid w:val="00957ED4"/>
    <w:rsid w:val="00961B81"/>
    <w:rsid w:val="00962ED5"/>
    <w:rsid w:val="00963709"/>
    <w:rsid w:val="009646C8"/>
    <w:rsid w:val="009651E3"/>
    <w:rsid w:val="00965C07"/>
    <w:rsid w:val="00971561"/>
    <w:rsid w:val="009761DA"/>
    <w:rsid w:val="00976847"/>
    <w:rsid w:val="009777D4"/>
    <w:rsid w:val="00980567"/>
    <w:rsid w:val="0098106F"/>
    <w:rsid w:val="00981374"/>
    <w:rsid w:val="009858FE"/>
    <w:rsid w:val="009860EA"/>
    <w:rsid w:val="00990719"/>
    <w:rsid w:val="0099197C"/>
    <w:rsid w:val="0099315C"/>
    <w:rsid w:val="00993855"/>
    <w:rsid w:val="0099464F"/>
    <w:rsid w:val="009A46B7"/>
    <w:rsid w:val="009B27B9"/>
    <w:rsid w:val="009C02E5"/>
    <w:rsid w:val="009C0E0E"/>
    <w:rsid w:val="009C187D"/>
    <w:rsid w:val="009C26E3"/>
    <w:rsid w:val="009C6DD1"/>
    <w:rsid w:val="009C7CD6"/>
    <w:rsid w:val="009D2789"/>
    <w:rsid w:val="009D4C0F"/>
    <w:rsid w:val="009D5D51"/>
    <w:rsid w:val="009D790C"/>
    <w:rsid w:val="009D7C44"/>
    <w:rsid w:val="009E54E2"/>
    <w:rsid w:val="009E7B86"/>
    <w:rsid w:val="009F366D"/>
    <w:rsid w:val="009F45EC"/>
    <w:rsid w:val="00A02A31"/>
    <w:rsid w:val="00A03FCE"/>
    <w:rsid w:val="00A06362"/>
    <w:rsid w:val="00A11A11"/>
    <w:rsid w:val="00A135C6"/>
    <w:rsid w:val="00A13D8B"/>
    <w:rsid w:val="00A13FF6"/>
    <w:rsid w:val="00A2013B"/>
    <w:rsid w:val="00A2390C"/>
    <w:rsid w:val="00A244A2"/>
    <w:rsid w:val="00A24A81"/>
    <w:rsid w:val="00A27FC7"/>
    <w:rsid w:val="00A3311F"/>
    <w:rsid w:val="00A33E58"/>
    <w:rsid w:val="00A34443"/>
    <w:rsid w:val="00A345F7"/>
    <w:rsid w:val="00A37546"/>
    <w:rsid w:val="00A3789F"/>
    <w:rsid w:val="00A404F7"/>
    <w:rsid w:val="00A42581"/>
    <w:rsid w:val="00A42EED"/>
    <w:rsid w:val="00A51447"/>
    <w:rsid w:val="00A51507"/>
    <w:rsid w:val="00A53F34"/>
    <w:rsid w:val="00A53F9F"/>
    <w:rsid w:val="00A540EB"/>
    <w:rsid w:val="00A5539A"/>
    <w:rsid w:val="00A60B97"/>
    <w:rsid w:val="00A648CB"/>
    <w:rsid w:val="00A679A5"/>
    <w:rsid w:val="00A71E51"/>
    <w:rsid w:val="00A72FAC"/>
    <w:rsid w:val="00A764E4"/>
    <w:rsid w:val="00A77F56"/>
    <w:rsid w:val="00A80794"/>
    <w:rsid w:val="00A85DA0"/>
    <w:rsid w:val="00A867D5"/>
    <w:rsid w:val="00A92B18"/>
    <w:rsid w:val="00A954D1"/>
    <w:rsid w:val="00A95A2D"/>
    <w:rsid w:val="00A95BD3"/>
    <w:rsid w:val="00AA29B0"/>
    <w:rsid w:val="00AA34B1"/>
    <w:rsid w:val="00AA719D"/>
    <w:rsid w:val="00AB06B2"/>
    <w:rsid w:val="00AB1C3D"/>
    <w:rsid w:val="00AB29A8"/>
    <w:rsid w:val="00AB6082"/>
    <w:rsid w:val="00AB776F"/>
    <w:rsid w:val="00AB7D22"/>
    <w:rsid w:val="00AB7E91"/>
    <w:rsid w:val="00AC22A5"/>
    <w:rsid w:val="00AC2670"/>
    <w:rsid w:val="00AC2E72"/>
    <w:rsid w:val="00AC45D9"/>
    <w:rsid w:val="00AD25A1"/>
    <w:rsid w:val="00AD29FB"/>
    <w:rsid w:val="00AD3F72"/>
    <w:rsid w:val="00AE04C7"/>
    <w:rsid w:val="00AE1C50"/>
    <w:rsid w:val="00AE1F78"/>
    <w:rsid w:val="00AE2BD2"/>
    <w:rsid w:val="00AE564F"/>
    <w:rsid w:val="00AE74DE"/>
    <w:rsid w:val="00AF0511"/>
    <w:rsid w:val="00AF23AF"/>
    <w:rsid w:val="00AF372B"/>
    <w:rsid w:val="00AF4E3A"/>
    <w:rsid w:val="00AF6A53"/>
    <w:rsid w:val="00B00257"/>
    <w:rsid w:val="00B039D7"/>
    <w:rsid w:val="00B05DFD"/>
    <w:rsid w:val="00B07F61"/>
    <w:rsid w:val="00B11EFC"/>
    <w:rsid w:val="00B13A2E"/>
    <w:rsid w:val="00B15210"/>
    <w:rsid w:val="00B1623B"/>
    <w:rsid w:val="00B17419"/>
    <w:rsid w:val="00B2363A"/>
    <w:rsid w:val="00B23CD1"/>
    <w:rsid w:val="00B24403"/>
    <w:rsid w:val="00B25206"/>
    <w:rsid w:val="00B32239"/>
    <w:rsid w:val="00B336C0"/>
    <w:rsid w:val="00B42DDB"/>
    <w:rsid w:val="00B45D75"/>
    <w:rsid w:val="00B472D0"/>
    <w:rsid w:val="00B51048"/>
    <w:rsid w:val="00B526F9"/>
    <w:rsid w:val="00B56FAD"/>
    <w:rsid w:val="00B6145A"/>
    <w:rsid w:val="00B61570"/>
    <w:rsid w:val="00B657A2"/>
    <w:rsid w:val="00B6585E"/>
    <w:rsid w:val="00B667D1"/>
    <w:rsid w:val="00B72578"/>
    <w:rsid w:val="00B7311A"/>
    <w:rsid w:val="00B744FB"/>
    <w:rsid w:val="00B74B51"/>
    <w:rsid w:val="00B77DA8"/>
    <w:rsid w:val="00B84A8E"/>
    <w:rsid w:val="00B85252"/>
    <w:rsid w:val="00B92D67"/>
    <w:rsid w:val="00B93536"/>
    <w:rsid w:val="00B9357A"/>
    <w:rsid w:val="00B93D10"/>
    <w:rsid w:val="00B943FD"/>
    <w:rsid w:val="00B952D8"/>
    <w:rsid w:val="00B9615A"/>
    <w:rsid w:val="00BA1CBE"/>
    <w:rsid w:val="00BA2708"/>
    <w:rsid w:val="00BA3831"/>
    <w:rsid w:val="00BA500B"/>
    <w:rsid w:val="00BA52E8"/>
    <w:rsid w:val="00BA5B5B"/>
    <w:rsid w:val="00BB008B"/>
    <w:rsid w:val="00BB0093"/>
    <w:rsid w:val="00BB1408"/>
    <w:rsid w:val="00BB2181"/>
    <w:rsid w:val="00BB2FCB"/>
    <w:rsid w:val="00BB3C82"/>
    <w:rsid w:val="00BB49BC"/>
    <w:rsid w:val="00BB57F6"/>
    <w:rsid w:val="00BC2684"/>
    <w:rsid w:val="00BC2845"/>
    <w:rsid w:val="00BC35AA"/>
    <w:rsid w:val="00BC4DB7"/>
    <w:rsid w:val="00BC4DFF"/>
    <w:rsid w:val="00BC5BB3"/>
    <w:rsid w:val="00BD2345"/>
    <w:rsid w:val="00BD2F0F"/>
    <w:rsid w:val="00BD53BD"/>
    <w:rsid w:val="00BD58DC"/>
    <w:rsid w:val="00BD5DEF"/>
    <w:rsid w:val="00BE18D7"/>
    <w:rsid w:val="00BE4802"/>
    <w:rsid w:val="00BE6449"/>
    <w:rsid w:val="00BF170E"/>
    <w:rsid w:val="00BF2DF4"/>
    <w:rsid w:val="00BF43D2"/>
    <w:rsid w:val="00BF509C"/>
    <w:rsid w:val="00BF711B"/>
    <w:rsid w:val="00BF7CF6"/>
    <w:rsid w:val="00C03147"/>
    <w:rsid w:val="00C069DB"/>
    <w:rsid w:val="00C119D6"/>
    <w:rsid w:val="00C141D0"/>
    <w:rsid w:val="00C1721B"/>
    <w:rsid w:val="00C20F98"/>
    <w:rsid w:val="00C21F77"/>
    <w:rsid w:val="00C249C9"/>
    <w:rsid w:val="00C27BEF"/>
    <w:rsid w:val="00C304BD"/>
    <w:rsid w:val="00C32A74"/>
    <w:rsid w:val="00C334E2"/>
    <w:rsid w:val="00C33BEA"/>
    <w:rsid w:val="00C34203"/>
    <w:rsid w:val="00C36F53"/>
    <w:rsid w:val="00C424F1"/>
    <w:rsid w:val="00C4424F"/>
    <w:rsid w:val="00C445CC"/>
    <w:rsid w:val="00C4599F"/>
    <w:rsid w:val="00C45F82"/>
    <w:rsid w:val="00C475F7"/>
    <w:rsid w:val="00C53E01"/>
    <w:rsid w:val="00C5548B"/>
    <w:rsid w:val="00C62EF5"/>
    <w:rsid w:val="00C77C32"/>
    <w:rsid w:val="00C81CDA"/>
    <w:rsid w:val="00C83148"/>
    <w:rsid w:val="00C846A9"/>
    <w:rsid w:val="00C871BA"/>
    <w:rsid w:val="00C878B3"/>
    <w:rsid w:val="00C87B56"/>
    <w:rsid w:val="00C90DE3"/>
    <w:rsid w:val="00C965B8"/>
    <w:rsid w:val="00C97610"/>
    <w:rsid w:val="00CA0C26"/>
    <w:rsid w:val="00CA2822"/>
    <w:rsid w:val="00CA63B9"/>
    <w:rsid w:val="00CB128D"/>
    <w:rsid w:val="00CB6841"/>
    <w:rsid w:val="00CB6C14"/>
    <w:rsid w:val="00CC7AC8"/>
    <w:rsid w:val="00CD0459"/>
    <w:rsid w:val="00CD071E"/>
    <w:rsid w:val="00CD1F68"/>
    <w:rsid w:val="00CD3E6A"/>
    <w:rsid w:val="00CD64DD"/>
    <w:rsid w:val="00CE1C4A"/>
    <w:rsid w:val="00CE1D30"/>
    <w:rsid w:val="00CE1E74"/>
    <w:rsid w:val="00CE208A"/>
    <w:rsid w:val="00CE224F"/>
    <w:rsid w:val="00CE328D"/>
    <w:rsid w:val="00CE79B1"/>
    <w:rsid w:val="00CF1BF6"/>
    <w:rsid w:val="00CF28A4"/>
    <w:rsid w:val="00CF6CCE"/>
    <w:rsid w:val="00CF6EAA"/>
    <w:rsid w:val="00D00C36"/>
    <w:rsid w:val="00D0145D"/>
    <w:rsid w:val="00D02424"/>
    <w:rsid w:val="00D0376D"/>
    <w:rsid w:val="00D07A16"/>
    <w:rsid w:val="00D12DE0"/>
    <w:rsid w:val="00D14528"/>
    <w:rsid w:val="00D14E81"/>
    <w:rsid w:val="00D1647F"/>
    <w:rsid w:val="00D16C96"/>
    <w:rsid w:val="00D20F95"/>
    <w:rsid w:val="00D23D60"/>
    <w:rsid w:val="00D27D10"/>
    <w:rsid w:val="00D34EA1"/>
    <w:rsid w:val="00D35DE8"/>
    <w:rsid w:val="00D3779C"/>
    <w:rsid w:val="00D37DCA"/>
    <w:rsid w:val="00D45EA5"/>
    <w:rsid w:val="00D46247"/>
    <w:rsid w:val="00D50214"/>
    <w:rsid w:val="00D54373"/>
    <w:rsid w:val="00D562B9"/>
    <w:rsid w:val="00D56BAB"/>
    <w:rsid w:val="00D62225"/>
    <w:rsid w:val="00D65D20"/>
    <w:rsid w:val="00D65E4B"/>
    <w:rsid w:val="00D660A5"/>
    <w:rsid w:val="00D67334"/>
    <w:rsid w:val="00D70109"/>
    <w:rsid w:val="00D742EF"/>
    <w:rsid w:val="00D745DA"/>
    <w:rsid w:val="00D769BC"/>
    <w:rsid w:val="00D77DA5"/>
    <w:rsid w:val="00D80631"/>
    <w:rsid w:val="00D80746"/>
    <w:rsid w:val="00D830AB"/>
    <w:rsid w:val="00D84420"/>
    <w:rsid w:val="00D85438"/>
    <w:rsid w:val="00D8732D"/>
    <w:rsid w:val="00D927DB"/>
    <w:rsid w:val="00D94352"/>
    <w:rsid w:val="00DA0D76"/>
    <w:rsid w:val="00DA1274"/>
    <w:rsid w:val="00DA133C"/>
    <w:rsid w:val="00DA2B1D"/>
    <w:rsid w:val="00DA30A3"/>
    <w:rsid w:val="00DA4153"/>
    <w:rsid w:val="00DA526D"/>
    <w:rsid w:val="00DB252A"/>
    <w:rsid w:val="00DB37E1"/>
    <w:rsid w:val="00DB5906"/>
    <w:rsid w:val="00DB7EE7"/>
    <w:rsid w:val="00DC028D"/>
    <w:rsid w:val="00DC0474"/>
    <w:rsid w:val="00DC1714"/>
    <w:rsid w:val="00DC203C"/>
    <w:rsid w:val="00DC2114"/>
    <w:rsid w:val="00DC3E82"/>
    <w:rsid w:val="00DC529B"/>
    <w:rsid w:val="00DC64BD"/>
    <w:rsid w:val="00DD2DEC"/>
    <w:rsid w:val="00DD563C"/>
    <w:rsid w:val="00DE06EE"/>
    <w:rsid w:val="00DE4FC1"/>
    <w:rsid w:val="00DE69DF"/>
    <w:rsid w:val="00DF0141"/>
    <w:rsid w:val="00DF0807"/>
    <w:rsid w:val="00DF513B"/>
    <w:rsid w:val="00DF71E8"/>
    <w:rsid w:val="00DF7B04"/>
    <w:rsid w:val="00E00604"/>
    <w:rsid w:val="00E0352C"/>
    <w:rsid w:val="00E061A1"/>
    <w:rsid w:val="00E07652"/>
    <w:rsid w:val="00E07BB2"/>
    <w:rsid w:val="00E11E1A"/>
    <w:rsid w:val="00E12C95"/>
    <w:rsid w:val="00E14566"/>
    <w:rsid w:val="00E14911"/>
    <w:rsid w:val="00E22660"/>
    <w:rsid w:val="00E232E0"/>
    <w:rsid w:val="00E23A5B"/>
    <w:rsid w:val="00E244BF"/>
    <w:rsid w:val="00E273C8"/>
    <w:rsid w:val="00E3030C"/>
    <w:rsid w:val="00E32EAF"/>
    <w:rsid w:val="00E33DC3"/>
    <w:rsid w:val="00E34BF8"/>
    <w:rsid w:val="00E4146D"/>
    <w:rsid w:val="00E43533"/>
    <w:rsid w:val="00E437AA"/>
    <w:rsid w:val="00E44C69"/>
    <w:rsid w:val="00E44F7F"/>
    <w:rsid w:val="00E450F0"/>
    <w:rsid w:val="00E50CC8"/>
    <w:rsid w:val="00E51298"/>
    <w:rsid w:val="00E51FE8"/>
    <w:rsid w:val="00E5244F"/>
    <w:rsid w:val="00E53722"/>
    <w:rsid w:val="00E54580"/>
    <w:rsid w:val="00E55ABC"/>
    <w:rsid w:val="00E55E57"/>
    <w:rsid w:val="00E56249"/>
    <w:rsid w:val="00E57F0F"/>
    <w:rsid w:val="00E61CF9"/>
    <w:rsid w:val="00E67ACE"/>
    <w:rsid w:val="00E67BA7"/>
    <w:rsid w:val="00E70734"/>
    <w:rsid w:val="00E757FD"/>
    <w:rsid w:val="00E829DB"/>
    <w:rsid w:val="00E84140"/>
    <w:rsid w:val="00E93D69"/>
    <w:rsid w:val="00E94FA8"/>
    <w:rsid w:val="00EA280C"/>
    <w:rsid w:val="00EA5569"/>
    <w:rsid w:val="00EA7F63"/>
    <w:rsid w:val="00EB1CDC"/>
    <w:rsid w:val="00EB4FD7"/>
    <w:rsid w:val="00EC3B1E"/>
    <w:rsid w:val="00EC44F4"/>
    <w:rsid w:val="00EC564B"/>
    <w:rsid w:val="00EC6F58"/>
    <w:rsid w:val="00ED4634"/>
    <w:rsid w:val="00ED5AF5"/>
    <w:rsid w:val="00ED7CB3"/>
    <w:rsid w:val="00EE1123"/>
    <w:rsid w:val="00EE1706"/>
    <w:rsid w:val="00EE3575"/>
    <w:rsid w:val="00EE3A4F"/>
    <w:rsid w:val="00EF0C91"/>
    <w:rsid w:val="00EF2660"/>
    <w:rsid w:val="00EF26A2"/>
    <w:rsid w:val="00EF4BED"/>
    <w:rsid w:val="00EF7710"/>
    <w:rsid w:val="00EF79D9"/>
    <w:rsid w:val="00EF7E8F"/>
    <w:rsid w:val="00F02C95"/>
    <w:rsid w:val="00F06892"/>
    <w:rsid w:val="00F06A83"/>
    <w:rsid w:val="00F11712"/>
    <w:rsid w:val="00F1668A"/>
    <w:rsid w:val="00F17561"/>
    <w:rsid w:val="00F261B1"/>
    <w:rsid w:val="00F269DE"/>
    <w:rsid w:val="00F26A4B"/>
    <w:rsid w:val="00F31636"/>
    <w:rsid w:val="00F376E3"/>
    <w:rsid w:val="00F37ED4"/>
    <w:rsid w:val="00F40A46"/>
    <w:rsid w:val="00F41D12"/>
    <w:rsid w:val="00F426D8"/>
    <w:rsid w:val="00F45235"/>
    <w:rsid w:val="00F50B3C"/>
    <w:rsid w:val="00F511DD"/>
    <w:rsid w:val="00F544A2"/>
    <w:rsid w:val="00F5592A"/>
    <w:rsid w:val="00F55EF7"/>
    <w:rsid w:val="00F57E9D"/>
    <w:rsid w:val="00F62529"/>
    <w:rsid w:val="00F62E76"/>
    <w:rsid w:val="00F63981"/>
    <w:rsid w:val="00F66E1A"/>
    <w:rsid w:val="00F71EBB"/>
    <w:rsid w:val="00F721F0"/>
    <w:rsid w:val="00F722C6"/>
    <w:rsid w:val="00F726CF"/>
    <w:rsid w:val="00F728DA"/>
    <w:rsid w:val="00F7702E"/>
    <w:rsid w:val="00F8554D"/>
    <w:rsid w:val="00F856C3"/>
    <w:rsid w:val="00F85D69"/>
    <w:rsid w:val="00F91404"/>
    <w:rsid w:val="00F93A1F"/>
    <w:rsid w:val="00F94184"/>
    <w:rsid w:val="00F951A5"/>
    <w:rsid w:val="00FA7C72"/>
    <w:rsid w:val="00FB2082"/>
    <w:rsid w:val="00FB4E60"/>
    <w:rsid w:val="00FB5C33"/>
    <w:rsid w:val="00FC12E7"/>
    <w:rsid w:val="00FC2646"/>
    <w:rsid w:val="00FC4ACC"/>
    <w:rsid w:val="00FD05F8"/>
    <w:rsid w:val="00FD0892"/>
    <w:rsid w:val="00FD1879"/>
    <w:rsid w:val="00FD1E75"/>
    <w:rsid w:val="00FD3B36"/>
    <w:rsid w:val="00FD6782"/>
    <w:rsid w:val="00FD7270"/>
    <w:rsid w:val="00FE093A"/>
    <w:rsid w:val="00FE4C5B"/>
    <w:rsid w:val="00FE5CF7"/>
    <w:rsid w:val="00FF3986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14"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c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d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e">
    <w:name w:val="annotation reference"/>
    <w:uiPriority w:val="99"/>
    <w:rPr>
      <w:sz w:val="16"/>
      <w:szCs w:val="16"/>
    </w:rPr>
  </w:style>
  <w:style w:type="paragraph" w:styleId="aff">
    <w:name w:val="annotation text"/>
    <w:basedOn w:val="a"/>
    <w:link w:val="aff0"/>
    <w:uiPriority w:val="99"/>
    <w:pPr>
      <w:ind w:firstLine="0"/>
      <w:jc w:val="left"/>
    </w:pPr>
    <w:rPr>
      <w:lang w:val="ro-RO" w:eastAsia="ru-RU"/>
    </w:rPr>
  </w:style>
  <w:style w:type="character" w:customStyle="1" w:styleId="aff0">
    <w:name w:val="Текст примечания Знак"/>
    <w:basedOn w:val="a0"/>
    <w:link w:val="aff"/>
    <w:uiPriority w:val="99"/>
    <w:rPr>
      <w:lang w:val="ro-RO"/>
    </w:rPr>
  </w:style>
  <w:style w:type="paragraph" w:styleId="aff1">
    <w:name w:val="annotation subject"/>
    <w:basedOn w:val="aff"/>
    <w:next w:val="aff"/>
    <w:link w:val="aff2"/>
    <w:uiPriority w:val="9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3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character" w:styleId="aff4">
    <w:name w:val="Placeholder Text"/>
    <w:basedOn w:val="a0"/>
    <w:uiPriority w:val="99"/>
    <w:semiHidden/>
    <w:rsid w:val="001C3F21"/>
    <w:rPr>
      <w:color w:val="808080"/>
    </w:rPr>
  </w:style>
  <w:style w:type="paragraph" w:styleId="aff5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72006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76D62"/>
    <w:pPr>
      <w:autoSpaceDE w:val="0"/>
      <w:autoSpaceDN w:val="0"/>
      <w:adjustRightInd w:val="0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D684CE62-B8AE-44A8-84AB-9F40E04B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5288</TotalTime>
  <Pages>5</Pages>
  <Words>2195</Words>
  <Characters>12513</Characters>
  <Application>Microsoft Office Word</Application>
  <DocSecurity>0</DocSecurity>
  <Lines>104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Veaceslav Turcanu</cp:lastModifiedBy>
  <cp:revision>331</cp:revision>
  <cp:lastPrinted>2026-03-19T06:06:00Z</cp:lastPrinted>
  <dcterms:created xsi:type="dcterms:W3CDTF">2024-03-25T08:15:00Z</dcterms:created>
  <dcterms:modified xsi:type="dcterms:W3CDTF">2026-07-21T12:08:00Z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